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62" w:rsidRPr="00201A62" w:rsidRDefault="005F0DD6" w:rsidP="00092A80">
      <w:pPr>
        <w:ind w:left="5040" w:right="17"/>
        <w:jc w:val="right"/>
        <w:rPr>
          <w:rFonts w:ascii="Corbel" w:hAnsi="Corbel" w:cs="Arial"/>
          <w:color w:val="929497"/>
          <w:sz w:val="8"/>
          <w:szCs w:val="22"/>
        </w:rPr>
      </w:pPr>
      <w:bookmarkStart w:id="0" w:name="_GoBack"/>
      <w:bookmarkEnd w:id="0"/>
      <w:r>
        <w:t xml:space="preserve"> </w:t>
      </w:r>
    </w:p>
    <w:p w:rsidR="00621579" w:rsidRPr="002B47AF" w:rsidRDefault="00621579" w:rsidP="00621579">
      <w:pPr>
        <w:jc w:val="center"/>
        <w:rPr>
          <w:rFonts w:asciiTheme="majorHAnsi" w:hAnsiTheme="majorHAnsi" w:cstheme="minorHAnsi"/>
          <w:b/>
          <w:caps/>
          <w:sz w:val="22"/>
          <w:szCs w:val="22"/>
        </w:rPr>
      </w:pPr>
    </w:p>
    <w:p w:rsidR="00832389" w:rsidRDefault="00832389" w:rsidP="00707130">
      <w:pPr>
        <w:shd w:val="clear" w:color="auto" w:fill="000000" w:themeFill="text1"/>
        <w:jc w:val="center"/>
        <w:rPr>
          <w:rFonts w:asciiTheme="majorHAnsi" w:hAnsiTheme="majorHAnsi" w:cs="Arial"/>
          <w:b/>
          <w:color w:val="FFFFFF" w:themeColor="background1"/>
          <w:sz w:val="40"/>
          <w:szCs w:val="40"/>
        </w:rPr>
      </w:pPr>
      <w:r w:rsidRPr="00832389">
        <w:rPr>
          <w:rFonts w:asciiTheme="majorHAnsi" w:hAnsiTheme="majorHAnsi" w:cs="Arial"/>
          <w:b/>
          <w:color w:val="FFFFFF" w:themeColor="background1"/>
          <w:sz w:val="40"/>
          <w:szCs w:val="40"/>
        </w:rPr>
        <w:t>PUBLIC HEARING NOTICE</w:t>
      </w:r>
    </w:p>
    <w:p w:rsidR="00832389" w:rsidRPr="00832389" w:rsidRDefault="00832389" w:rsidP="00707130">
      <w:pPr>
        <w:shd w:val="clear" w:color="auto" w:fill="000000" w:themeFill="text1"/>
        <w:jc w:val="center"/>
        <w:rPr>
          <w:rFonts w:asciiTheme="majorHAnsi" w:hAnsiTheme="majorHAnsi" w:cs="Arial"/>
          <w:b/>
          <w:color w:val="FFFFFF" w:themeColor="background1"/>
          <w:sz w:val="44"/>
          <w:szCs w:val="44"/>
        </w:rPr>
      </w:pPr>
      <w:r w:rsidRPr="002B47AF">
        <w:rPr>
          <w:rFonts w:asciiTheme="majorHAnsi" w:hAnsiTheme="majorHAnsi"/>
          <w:b/>
          <w:caps/>
          <w:color w:val="FFFFFF" w:themeColor="background1"/>
          <w:sz w:val="32"/>
          <w:szCs w:val="32"/>
        </w:rPr>
        <w:t xml:space="preserve">type </w:t>
      </w:r>
      <w:r>
        <w:rPr>
          <w:rFonts w:asciiTheme="majorHAnsi" w:hAnsiTheme="majorHAnsi" w:cs="Arial"/>
          <w:b/>
          <w:caps/>
          <w:color w:val="FFFFFF" w:themeColor="background1"/>
          <w:sz w:val="32"/>
          <w:szCs w:val="32"/>
        </w:rPr>
        <w:t>3</w:t>
      </w:r>
      <w:r w:rsidRPr="002B47AF">
        <w:rPr>
          <w:rFonts w:asciiTheme="majorHAnsi" w:hAnsiTheme="majorHAnsi"/>
          <w:b/>
          <w:caps/>
          <w:color w:val="FFFFFF" w:themeColor="background1"/>
          <w:sz w:val="32"/>
          <w:szCs w:val="32"/>
        </w:rPr>
        <w:t xml:space="preserve"> NOTICE OF DEVELOPMENT PROPOSAL</w:t>
      </w:r>
    </w:p>
    <w:p w:rsidR="00504160" w:rsidRDefault="00504160" w:rsidP="00092A80">
      <w:pPr>
        <w:rPr>
          <w:rFonts w:asciiTheme="minorHAnsi" w:hAnsiTheme="minorHAnsi" w:cstheme="minorHAnsi"/>
          <w:sz w:val="22"/>
          <w:szCs w:val="22"/>
        </w:rPr>
      </w:pPr>
    </w:p>
    <w:p w:rsidR="00832389" w:rsidRPr="000C3E33" w:rsidRDefault="00832389" w:rsidP="00832389">
      <w:pPr>
        <w:tabs>
          <w:tab w:val="left" w:pos="1980"/>
          <w:tab w:val="left" w:pos="4680"/>
        </w:tabs>
        <w:rPr>
          <w:rFonts w:ascii="Arial" w:hAnsi="Arial" w:cs="Arial"/>
          <w:u w:val="single"/>
        </w:rPr>
      </w:pPr>
      <w:r w:rsidRPr="00CA33C8">
        <w:rPr>
          <w:rFonts w:ascii="Arial" w:hAnsi="Arial" w:cs="Arial"/>
          <w:b/>
        </w:rPr>
        <w:t>Hearing Date:</w:t>
      </w:r>
      <w:r w:rsidRPr="00CA33C8">
        <w:rPr>
          <w:rFonts w:ascii="Arial" w:hAnsi="Arial" w:cs="Arial"/>
        </w:rPr>
        <w:tab/>
      </w:r>
      <w:r w:rsidR="00F50A7E">
        <w:rPr>
          <w:rFonts w:ascii="Arial" w:hAnsi="Arial" w:cs="Arial"/>
          <w:b/>
          <w:u w:val="single"/>
        </w:rPr>
        <w:t>September 27, 2017</w:t>
      </w:r>
      <w:r w:rsidRPr="00832389">
        <w:rPr>
          <w:rFonts w:ascii="Arial" w:hAnsi="Arial" w:cs="Arial"/>
        </w:rPr>
        <w:t xml:space="preserve">   </w:t>
      </w:r>
      <w:r w:rsidRPr="000C3E33">
        <w:rPr>
          <w:rFonts w:ascii="Arial" w:hAnsi="Arial" w:cs="Arial"/>
          <w:b/>
        </w:rPr>
        <w:t xml:space="preserve">  </w:t>
      </w:r>
      <w:r w:rsidRPr="000C3E33">
        <w:rPr>
          <w:rFonts w:ascii="Arial" w:hAnsi="Arial" w:cs="Arial"/>
          <w:b/>
        </w:rPr>
        <w:tab/>
        <w:t>Hearing Body:</w:t>
      </w:r>
      <w:r w:rsidRPr="000C3E33">
        <w:rPr>
          <w:rFonts w:ascii="Arial" w:hAnsi="Arial" w:cs="Arial"/>
        </w:rPr>
        <w:t xml:space="preserve">  </w:t>
      </w:r>
      <w:r w:rsidRPr="00832389">
        <w:rPr>
          <w:rFonts w:ascii="Arial" w:hAnsi="Arial" w:cs="Arial"/>
          <w:b/>
          <w:u w:val="single"/>
        </w:rPr>
        <w:t>Planning Commission</w:t>
      </w:r>
      <w:r w:rsidRPr="000C3E33">
        <w:rPr>
          <w:rFonts w:ascii="Arial" w:hAnsi="Arial" w:cs="Arial"/>
          <w:u w:val="single"/>
        </w:rPr>
        <w:tab/>
      </w:r>
    </w:p>
    <w:p w:rsidR="00832389" w:rsidRDefault="00832389" w:rsidP="00092A80">
      <w:pPr>
        <w:rPr>
          <w:rFonts w:asciiTheme="minorHAnsi" w:hAnsiTheme="minorHAnsi" w:cstheme="minorHAnsi"/>
          <w:sz w:val="22"/>
          <w:szCs w:val="22"/>
        </w:rPr>
      </w:pPr>
    </w:p>
    <w:tbl>
      <w:tblPr>
        <w:tblW w:w="9450" w:type="dxa"/>
        <w:jc w:val="center"/>
        <w:tblBorders>
          <w:top w:val="single" w:sz="4" w:space="0" w:color="auto"/>
          <w:left w:val="single" w:sz="4" w:space="0" w:color="auto"/>
          <w:bottom w:val="single" w:sz="4" w:space="0" w:color="auto"/>
          <w:right w:val="single" w:sz="4" w:space="0" w:color="auto"/>
        </w:tblBorders>
        <w:tblCellMar>
          <w:left w:w="72" w:type="dxa"/>
          <w:right w:w="72" w:type="dxa"/>
        </w:tblCellMar>
        <w:tblLook w:val="01E0" w:firstRow="1" w:lastRow="1" w:firstColumn="1" w:lastColumn="1" w:noHBand="0" w:noVBand="0"/>
      </w:tblPr>
      <w:tblGrid>
        <w:gridCol w:w="1734"/>
        <w:gridCol w:w="7716"/>
      </w:tblGrid>
      <w:tr w:rsidR="0050155A" w:rsidRPr="002B47AF" w:rsidTr="0050155A">
        <w:trPr>
          <w:jc w:val="center"/>
        </w:trPr>
        <w:tc>
          <w:tcPr>
            <w:tcW w:w="1705" w:type="dxa"/>
            <w:shd w:val="clear" w:color="auto" w:fill="auto"/>
            <w:tcMar>
              <w:left w:w="115" w:type="dxa"/>
              <w:right w:w="115" w:type="dxa"/>
            </w:tcMar>
            <w:vAlign w:val="center"/>
          </w:tcPr>
          <w:p w:rsidR="0050155A" w:rsidRPr="002B47AF" w:rsidRDefault="0050155A" w:rsidP="00416187">
            <w:pPr>
              <w:ind w:right="-108"/>
              <w:jc w:val="left"/>
              <w:rPr>
                <w:rFonts w:asciiTheme="minorHAnsi" w:hAnsiTheme="minorHAnsi" w:cstheme="minorHAnsi"/>
                <w:sz w:val="22"/>
                <w:szCs w:val="22"/>
              </w:rPr>
            </w:pPr>
            <w:r w:rsidRPr="002B47AF">
              <w:rPr>
                <w:rFonts w:asciiTheme="minorHAnsi" w:hAnsiTheme="minorHAnsi" w:cstheme="minorHAnsi"/>
                <w:b/>
                <w:sz w:val="22"/>
                <w:szCs w:val="22"/>
              </w:rPr>
              <w:t>Project Name:</w:t>
            </w:r>
          </w:p>
        </w:tc>
        <w:tc>
          <w:tcPr>
            <w:tcW w:w="7745" w:type="dxa"/>
            <w:tcBorders>
              <w:top w:val="single" w:sz="4" w:space="0" w:color="auto"/>
              <w:bottom w:val="nil"/>
              <w:right w:val="single" w:sz="4" w:space="0" w:color="auto"/>
            </w:tcBorders>
            <w:shd w:val="clear" w:color="auto" w:fill="auto"/>
            <w:tcMar>
              <w:left w:w="115" w:type="dxa"/>
              <w:right w:w="115" w:type="dxa"/>
            </w:tcMar>
          </w:tcPr>
          <w:p w:rsidR="0050155A" w:rsidRPr="00AA19F0" w:rsidRDefault="0050155A" w:rsidP="002B47AF">
            <w:pPr>
              <w:ind w:right="168"/>
              <w:jc w:val="left"/>
              <w:rPr>
                <w:rFonts w:asciiTheme="minorHAnsi" w:hAnsiTheme="minorHAnsi" w:cstheme="minorHAnsi"/>
                <w:b/>
                <w:sz w:val="28"/>
                <w:szCs w:val="28"/>
              </w:rPr>
            </w:pPr>
            <w:r w:rsidRPr="00AA19F0">
              <w:rPr>
                <w:rFonts w:asciiTheme="minorHAnsi" w:hAnsiTheme="minorHAnsi" w:cstheme="minorHAnsi"/>
                <w:b/>
                <w:caps/>
                <w:sz w:val="28"/>
                <w:szCs w:val="28"/>
              </w:rPr>
              <w:t>South Cooper Mountain Heights</w:t>
            </w:r>
            <w:r>
              <w:rPr>
                <w:rFonts w:asciiTheme="minorHAnsi" w:hAnsiTheme="minorHAnsi" w:cstheme="minorHAnsi"/>
                <w:b/>
                <w:caps/>
                <w:sz w:val="28"/>
                <w:szCs w:val="28"/>
              </w:rPr>
              <w:t xml:space="preserve"> PUD – Modification of a decision</w:t>
            </w:r>
          </w:p>
        </w:tc>
      </w:tr>
      <w:tr w:rsidR="0050155A" w:rsidRPr="002B47AF" w:rsidTr="0050155A">
        <w:trPr>
          <w:jc w:val="center"/>
        </w:trPr>
        <w:tc>
          <w:tcPr>
            <w:tcW w:w="1705" w:type="dxa"/>
            <w:shd w:val="clear" w:color="auto" w:fill="auto"/>
            <w:tcMar>
              <w:left w:w="115" w:type="dxa"/>
              <w:right w:w="115" w:type="dxa"/>
            </w:tcMar>
          </w:tcPr>
          <w:p w:rsidR="0050155A" w:rsidRPr="002B47AF" w:rsidRDefault="0050155A" w:rsidP="00416187">
            <w:pPr>
              <w:ind w:right="-108"/>
              <w:rPr>
                <w:rFonts w:asciiTheme="minorHAnsi" w:hAnsiTheme="minorHAnsi" w:cstheme="minorHAnsi"/>
                <w:sz w:val="22"/>
                <w:szCs w:val="22"/>
              </w:rPr>
            </w:pPr>
          </w:p>
        </w:tc>
        <w:tc>
          <w:tcPr>
            <w:tcW w:w="7745" w:type="dxa"/>
            <w:tcBorders>
              <w:top w:val="nil"/>
            </w:tcBorders>
            <w:shd w:val="clear" w:color="auto" w:fill="auto"/>
            <w:tcMar>
              <w:left w:w="115" w:type="dxa"/>
              <w:right w:w="115" w:type="dxa"/>
            </w:tcMar>
          </w:tcPr>
          <w:p w:rsidR="0050155A" w:rsidRPr="002B47AF" w:rsidRDefault="0050155A" w:rsidP="00707130">
            <w:pPr>
              <w:ind w:right="168"/>
              <w:jc w:val="left"/>
              <w:rPr>
                <w:rFonts w:asciiTheme="minorHAnsi" w:hAnsiTheme="minorHAnsi" w:cstheme="minorHAnsi"/>
                <w:sz w:val="22"/>
                <w:szCs w:val="22"/>
              </w:rPr>
            </w:pPr>
          </w:p>
        </w:tc>
      </w:tr>
      <w:tr w:rsidR="0050155A" w:rsidRPr="002B47AF" w:rsidTr="0050155A">
        <w:trPr>
          <w:jc w:val="center"/>
        </w:trPr>
        <w:tc>
          <w:tcPr>
            <w:tcW w:w="1705" w:type="dxa"/>
            <w:shd w:val="clear" w:color="auto" w:fill="auto"/>
            <w:tcMar>
              <w:left w:w="115" w:type="dxa"/>
              <w:right w:w="115" w:type="dxa"/>
            </w:tcMar>
          </w:tcPr>
          <w:p w:rsidR="0050155A" w:rsidRPr="002B47AF" w:rsidRDefault="0050155A" w:rsidP="00416187">
            <w:pPr>
              <w:ind w:right="-108"/>
              <w:rPr>
                <w:rFonts w:asciiTheme="minorHAnsi" w:hAnsiTheme="minorHAnsi" w:cstheme="minorHAnsi"/>
                <w:b/>
                <w:sz w:val="22"/>
                <w:szCs w:val="22"/>
              </w:rPr>
            </w:pPr>
            <w:r w:rsidRPr="002B47AF">
              <w:rPr>
                <w:rFonts w:asciiTheme="minorHAnsi" w:hAnsiTheme="minorHAnsi" w:cstheme="minorHAnsi"/>
                <w:b/>
                <w:sz w:val="22"/>
                <w:szCs w:val="22"/>
              </w:rPr>
              <w:t>Case File No.:</w:t>
            </w:r>
          </w:p>
        </w:tc>
        <w:tc>
          <w:tcPr>
            <w:tcW w:w="7745" w:type="dxa"/>
            <w:shd w:val="clear" w:color="auto" w:fill="auto"/>
            <w:tcMar>
              <w:left w:w="115" w:type="dxa"/>
              <w:right w:w="115" w:type="dxa"/>
            </w:tcMar>
          </w:tcPr>
          <w:p w:rsidR="0050155A" w:rsidRPr="00567101" w:rsidRDefault="0050155A" w:rsidP="00567101">
            <w:pPr>
              <w:jc w:val="left"/>
              <w:rPr>
                <w:rFonts w:ascii="Arial" w:hAnsi="Arial" w:cs="Arial"/>
                <w:b/>
              </w:rPr>
            </w:pPr>
            <w:r w:rsidRPr="00624B3E">
              <w:rPr>
                <w:rFonts w:ascii="Arial" w:hAnsi="Arial" w:cs="Arial"/>
                <w:b/>
              </w:rPr>
              <w:t>CU201</w:t>
            </w:r>
            <w:r>
              <w:rPr>
                <w:rFonts w:ascii="Arial" w:hAnsi="Arial" w:cs="Arial"/>
                <w:b/>
              </w:rPr>
              <w:t>7</w:t>
            </w:r>
            <w:r w:rsidRPr="00624B3E">
              <w:rPr>
                <w:rFonts w:ascii="Arial" w:hAnsi="Arial" w:cs="Arial"/>
                <w:b/>
              </w:rPr>
              <w:t>-000</w:t>
            </w:r>
            <w:r>
              <w:rPr>
                <w:rFonts w:ascii="Arial" w:hAnsi="Arial" w:cs="Arial"/>
                <w:b/>
              </w:rPr>
              <w:t>5</w:t>
            </w:r>
            <w:r w:rsidRPr="00624B3E">
              <w:rPr>
                <w:rFonts w:ascii="Arial" w:hAnsi="Arial" w:cs="Arial"/>
                <w:b/>
              </w:rPr>
              <w:t xml:space="preserve"> / </w:t>
            </w:r>
            <w:r>
              <w:rPr>
                <w:rFonts w:ascii="Arial" w:hAnsi="Arial" w:cs="Arial"/>
                <w:b/>
              </w:rPr>
              <w:t>LD2017</w:t>
            </w:r>
            <w:r w:rsidRPr="00624B3E">
              <w:rPr>
                <w:rFonts w:ascii="Arial" w:hAnsi="Arial" w:cs="Arial"/>
                <w:b/>
              </w:rPr>
              <w:t>-00</w:t>
            </w:r>
            <w:r>
              <w:rPr>
                <w:rFonts w:ascii="Arial" w:hAnsi="Arial" w:cs="Arial"/>
                <w:b/>
              </w:rPr>
              <w:t>06</w:t>
            </w:r>
            <w:r w:rsidRPr="00624B3E">
              <w:rPr>
                <w:rFonts w:ascii="Arial" w:hAnsi="Arial" w:cs="Arial"/>
                <w:b/>
              </w:rPr>
              <w:t xml:space="preserve"> / </w:t>
            </w:r>
            <w:r>
              <w:rPr>
                <w:rFonts w:ascii="Arial" w:hAnsi="Arial" w:cs="Arial"/>
                <w:b/>
              </w:rPr>
              <w:t>LD2017-0014</w:t>
            </w:r>
            <w:r w:rsidRPr="00624B3E">
              <w:rPr>
                <w:rFonts w:ascii="Arial" w:hAnsi="Arial" w:cs="Arial"/>
                <w:b/>
              </w:rPr>
              <w:t xml:space="preserve"> / </w:t>
            </w:r>
            <w:r>
              <w:rPr>
                <w:rFonts w:ascii="Arial" w:hAnsi="Arial" w:cs="Arial"/>
                <w:b/>
              </w:rPr>
              <w:t>TP2017-0011</w:t>
            </w:r>
          </w:p>
        </w:tc>
      </w:tr>
      <w:tr w:rsidR="0050155A" w:rsidRPr="002B47AF" w:rsidTr="0050155A">
        <w:trPr>
          <w:jc w:val="center"/>
        </w:trPr>
        <w:tc>
          <w:tcPr>
            <w:tcW w:w="1705" w:type="dxa"/>
            <w:shd w:val="clear" w:color="auto" w:fill="auto"/>
            <w:tcMar>
              <w:left w:w="115" w:type="dxa"/>
              <w:right w:w="115" w:type="dxa"/>
            </w:tcMar>
          </w:tcPr>
          <w:p w:rsidR="0050155A" w:rsidRPr="002B47AF" w:rsidRDefault="0050155A" w:rsidP="00416187">
            <w:pPr>
              <w:ind w:right="-108"/>
              <w:rPr>
                <w:rFonts w:asciiTheme="minorHAnsi" w:hAnsiTheme="minorHAnsi" w:cstheme="minorHAnsi"/>
                <w:sz w:val="22"/>
                <w:szCs w:val="22"/>
              </w:rPr>
            </w:pPr>
          </w:p>
        </w:tc>
        <w:tc>
          <w:tcPr>
            <w:tcW w:w="7745" w:type="dxa"/>
            <w:shd w:val="clear" w:color="auto" w:fill="auto"/>
            <w:tcMar>
              <w:left w:w="115" w:type="dxa"/>
              <w:right w:w="115" w:type="dxa"/>
            </w:tcMar>
          </w:tcPr>
          <w:p w:rsidR="0050155A" w:rsidRPr="002B47AF" w:rsidRDefault="0050155A" w:rsidP="00707130">
            <w:pPr>
              <w:ind w:right="168"/>
              <w:jc w:val="left"/>
              <w:rPr>
                <w:rFonts w:asciiTheme="minorHAnsi" w:hAnsiTheme="minorHAnsi" w:cstheme="minorHAnsi"/>
                <w:sz w:val="22"/>
                <w:szCs w:val="22"/>
                <w:highlight w:val="yellow"/>
              </w:rPr>
            </w:pPr>
          </w:p>
        </w:tc>
      </w:tr>
      <w:tr w:rsidR="0050155A" w:rsidRPr="002B47AF" w:rsidTr="0050155A">
        <w:trPr>
          <w:jc w:val="center"/>
        </w:trPr>
        <w:tc>
          <w:tcPr>
            <w:tcW w:w="1705" w:type="dxa"/>
            <w:shd w:val="clear" w:color="auto" w:fill="auto"/>
            <w:tcMar>
              <w:left w:w="115" w:type="dxa"/>
              <w:right w:w="115" w:type="dxa"/>
            </w:tcMar>
          </w:tcPr>
          <w:p w:rsidR="0050155A" w:rsidRPr="002B47AF" w:rsidRDefault="0050155A" w:rsidP="00416187">
            <w:pPr>
              <w:ind w:right="-108"/>
              <w:rPr>
                <w:rFonts w:asciiTheme="minorHAnsi" w:hAnsiTheme="minorHAnsi" w:cstheme="minorHAnsi"/>
                <w:b/>
                <w:sz w:val="22"/>
                <w:szCs w:val="22"/>
              </w:rPr>
            </w:pPr>
            <w:r w:rsidRPr="002B47AF">
              <w:rPr>
                <w:rFonts w:asciiTheme="minorHAnsi" w:hAnsiTheme="minorHAnsi" w:cstheme="minorHAnsi"/>
                <w:b/>
                <w:sz w:val="22"/>
                <w:szCs w:val="22"/>
              </w:rPr>
              <w:t>Summary of</w:t>
            </w:r>
          </w:p>
          <w:p w:rsidR="0050155A" w:rsidRPr="002B47AF" w:rsidRDefault="0050155A" w:rsidP="00416187">
            <w:pPr>
              <w:ind w:right="-108"/>
              <w:rPr>
                <w:rFonts w:asciiTheme="minorHAnsi" w:hAnsiTheme="minorHAnsi" w:cstheme="minorHAnsi"/>
                <w:b/>
                <w:sz w:val="22"/>
                <w:szCs w:val="22"/>
              </w:rPr>
            </w:pPr>
            <w:r w:rsidRPr="002B47AF">
              <w:rPr>
                <w:rFonts w:asciiTheme="minorHAnsi" w:hAnsiTheme="minorHAnsi" w:cstheme="minorHAnsi"/>
                <w:b/>
                <w:sz w:val="22"/>
                <w:szCs w:val="22"/>
              </w:rPr>
              <w:t>Application:</w:t>
            </w:r>
          </w:p>
          <w:p w:rsidR="0050155A" w:rsidRPr="002B47AF" w:rsidRDefault="0050155A" w:rsidP="00416187">
            <w:pPr>
              <w:ind w:right="-108"/>
              <w:rPr>
                <w:rFonts w:asciiTheme="minorHAnsi" w:hAnsiTheme="minorHAnsi" w:cstheme="minorHAnsi"/>
                <w:b/>
                <w:sz w:val="22"/>
                <w:szCs w:val="22"/>
              </w:rPr>
            </w:pPr>
          </w:p>
        </w:tc>
        <w:tc>
          <w:tcPr>
            <w:tcW w:w="7745" w:type="dxa"/>
            <w:shd w:val="clear" w:color="auto" w:fill="auto"/>
            <w:tcMar>
              <w:left w:w="115" w:type="dxa"/>
              <w:right w:w="115" w:type="dxa"/>
            </w:tcMar>
          </w:tcPr>
          <w:p w:rsidR="0050155A" w:rsidRPr="00624B3E" w:rsidRDefault="0050155A" w:rsidP="00624B3E">
            <w:pPr>
              <w:spacing w:after="160" w:line="259" w:lineRule="auto"/>
              <w:rPr>
                <w:rFonts w:ascii="Arial" w:eastAsia="Calibri" w:hAnsi="Arial" w:cs="Arial"/>
                <w:bCs/>
                <w:sz w:val="22"/>
                <w:szCs w:val="22"/>
              </w:rPr>
            </w:pPr>
            <w:r w:rsidRPr="00624B3E">
              <w:rPr>
                <w:rFonts w:ascii="Arial" w:eastAsia="Calibri" w:hAnsi="Arial" w:cs="Arial"/>
                <w:bCs/>
                <w:sz w:val="22"/>
                <w:szCs w:val="22"/>
              </w:rPr>
              <w:t xml:space="preserve">The applicant, West Hills Development, requests approval by the Planning Commission to </w:t>
            </w:r>
            <w:r w:rsidRPr="00E27EC9">
              <w:rPr>
                <w:rFonts w:ascii="Arial" w:eastAsia="Calibri" w:hAnsi="Arial" w:cs="Arial"/>
                <w:bCs/>
                <w:sz w:val="22"/>
                <w:szCs w:val="22"/>
              </w:rPr>
              <w:t xml:space="preserve">process </w:t>
            </w:r>
            <w:r>
              <w:rPr>
                <w:rFonts w:ascii="Arial" w:eastAsia="Calibri" w:hAnsi="Arial" w:cs="Arial"/>
                <w:bCs/>
                <w:sz w:val="22"/>
                <w:szCs w:val="22"/>
              </w:rPr>
              <w:t xml:space="preserve">modifications to the approved South Cooper Mountain Heights </w:t>
            </w:r>
            <w:r w:rsidRPr="00E27EC9">
              <w:rPr>
                <w:rFonts w:ascii="Arial" w:eastAsia="Calibri" w:hAnsi="Arial" w:cs="Arial"/>
                <w:sz w:val="22"/>
              </w:rPr>
              <w:t>Planned Unit Development</w:t>
            </w:r>
            <w:r>
              <w:rPr>
                <w:rFonts w:ascii="Arial" w:eastAsia="Calibri" w:hAnsi="Arial" w:cs="Arial"/>
                <w:sz w:val="22"/>
              </w:rPr>
              <w:t>,</w:t>
            </w:r>
            <w:r w:rsidRPr="00E27EC9">
              <w:rPr>
                <w:rFonts w:ascii="Arial" w:eastAsia="Calibri" w:hAnsi="Arial" w:cs="Arial"/>
                <w:sz w:val="22"/>
              </w:rPr>
              <w:t xml:space="preserve"> </w:t>
            </w:r>
            <w:r>
              <w:rPr>
                <w:rFonts w:ascii="Arial" w:eastAsia="Calibri" w:hAnsi="Arial" w:cs="Arial"/>
                <w:sz w:val="22"/>
              </w:rPr>
              <w:t>originally approved in February 2016.</w:t>
            </w:r>
            <w:r w:rsidRPr="00E27EC9">
              <w:rPr>
                <w:rFonts w:ascii="Arial" w:eastAsia="Calibri" w:hAnsi="Arial" w:cs="Arial"/>
                <w:sz w:val="22"/>
              </w:rPr>
              <w:t xml:space="preserve">  Applications include</w:t>
            </w:r>
            <w:r w:rsidRPr="00624B3E">
              <w:rPr>
                <w:rFonts w:ascii="Arial" w:eastAsia="Calibri" w:hAnsi="Arial" w:cs="Arial"/>
                <w:sz w:val="22"/>
              </w:rPr>
              <w:t xml:space="preserve"> a Conditional Use </w:t>
            </w:r>
            <w:r>
              <w:rPr>
                <w:rFonts w:ascii="Arial" w:eastAsia="Calibri" w:hAnsi="Arial" w:cs="Arial"/>
                <w:sz w:val="22"/>
              </w:rPr>
              <w:t xml:space="preserve">Two </w:t>
            </w:r>
            <w:r w:rsidRPr="00624B3E">
              <w:rPr>
                <w:rFonts w:ascii="Arial" w:eastAsia="Calibri" w:hAnsi="Arial" w:cs="Arial"/>
                <w:sz w:val="22"/>
              </w:rPr>
              <w:t>(</w:t>
            </w:r>
            <w:r>
              <w:rPr>
                <w:rFonts w:ascii="Arial" w:eastAsia="Calibri" w:hAnsi="Arial" w:cs="Arial"/>
                <w:sz w:val="22"/>
              </w:rPr>
              <w:t>for Minor Modification to a Conditional Use); Land Division-</w:t>
            </w:r>
            <w:r w:rsidRPr="00624B3E">
              <w:rPr>
                <w:rFonts w:ascii="Arial" w:eastAsia="Calibri" w:hAnsi="Arial" w:cs="Arial"/>
                <w:sz w:val="22"/>
              </w:rPr>
              <w:t>Preliminary Subdivision</w:t>
            </w:r>
            <w:r>
              <w:rPr>
                <w:rFonts w:ascii="Arial" w:eastAsia="Calibri" w:hAnsi="Arial" w:cs="Arial"/>
                <w:sz w:val="22"/>
              </w:rPr>
              <w:t xml:space="preserve"> (for modification of a decision to the conditions of approval</w:t>
            </w:r>
            <w:r w:rsidRPr="00624B3E">
              <w:rPr>
                <w:rFonts w:ascii="Arial" w:eastAsia="Calibri" w:hAnsi="Arial" w:cs="Arial"/>
                <w:sz w:val="22"/>
              </w:rPr>
              <w:t>)</w:t>
            </w:r>
            <w:r>
              <w:rPr>
                <w:rFonts w:ascii="Arial" w:eastAsia="Calibri" w:hAnsi="Arial" w:cs="Arial"/>
                <w:sz w:val="22"/>
              </w:rPr>
              <w:t xml:space="preserve"> to </w:t>
            </w:r>
            <w:r w:rsidR="00247F8E">
              <w:rPr>
                <w:rFonts w:ascii="Arial" w:eastAsia="Calibri" w:hAnsi="Arial" w:cs="Arial"/>
                <w:sz w:val="22"/>
              </w:rPr>
              <w:t xml:space="preserve">add ten (10) additional detached single family lots, </w:t>
            </w:r>
            <w:r>
              <w:rPr>
                <w:rFonts w:ascii="Arial" w:eastAsia="Calibri" w:hAnsi="Arial" w:cs="Arial"/>
                <w:sz w:val="22"/>
              </w:rPr>
              <w:t>modify conditions of approval related to the timing of critical facilities/infrastructure improvements and timing in conjunction with proposed PUD Phases</w:t>
            </w:r>
            <w:r w:rsidRPr="00624B3E">
              <w:rPr>
                <w:rFonts w:ascii="Arial" w:eastAsia="Calibri" w:hAnsi="Arial" w:cs="Arial"/>
                <w:sz w:val="22"/>
              </w:rPr>
              <w:t xml:space="preserve">, </w:t>
            </w:r>
            <w:r>
              <w:rPr>
                <w:rFonts w:ascii="Arial" w:eastAsia="Calibri" w:hAnsi="Arial" w:cs="Arial"/>
                <w:sz w:val="22"/>
              </w:rPr>
              <w:t xml:space="preserve">Land Division - Preliminary Partition (for a 3-Lot Partition of Tax Lot 103), and </w:t>
            </w:r>
            <w:r w:rsidRPr="00624B3E">
              <w:rPr>
                <w:rFonts w:ascii="Arial" w:eastAsia="Calibri" w:hAnsi="Arial" w:cs="Arial"/>
                <w:sz w:val="22"/>
              </w:rPr>
              <w:t>a Tree Plan Two</w:t>
            </w:r>
            <w:r>
              <w:rPr>
                <w:rFonts w:ascii="Arial" w:eastAsia="Calibri" w:hAnsi="Arial" w:cs="Arial"/>
                <w:sz w:val="22"/>
              </w:rPr>
              <w:t xml:space="preserve"> to remove 4 additional community trees.</w:t>
            </w:r>
          </w:p>
          <w:p w:rsidR="0050155A" w:rsidRPr="002B47AF" w:rsidRDefault="0050155A" w:rsidP="009660B2">
            <w:pPr>
              <w:spacing w:after="240" w:line="259" w:lineRule="auto"/>
              <w:ind w:left="695"/>
              <w:rPr>
                <w:rFonts w:asciiTheme="minorHAnsi" w:hAnsiTheme="minorHAnsi" w:cstheme="minorHAnsi"/>
                <w:sz w:val="22"/>
                <w:szCs w:val="22"/>
              </w:rPr>
            </w:pPr>
          </w:p>
        </w:tc>
      </w:tr>
      <w:tr w:rsidR="0050155A" w:rsidRPr="002B47AF" w:rsidTr="0050155A">
        <w:trPr>
          <w:jc w:val="center"/>
        </w:trPr>
        <w:tc>
          <w:tcPr>
            <w:tcW w:w="1705" w:type="dxa"/>
            <w:tcBorders>
              <w:bottom w:val="single" w:sz="4" w:space="0" w:color="auto"/>
            </w:tcBorders>
            <w:shd w:val="clear" w:color="auto" w:fill="auto"/>
            <w:tcMar>
              <w:left w:w="115" w:type="dxa"/>
              <w:right w:w="115" w:type="dxa"/>
            </w:tcMar>
          </w:tcPr>
          <w:p w:rsidR="0050155A" w:rsidRPr="002B47AF" w:rsidRDefault="0050155A" w:rsidP="00416187">
            <w:pPr>
              <w:ind w:right="-108"/>
              <w:rPr>
                <w:rFonts w:asciiTheme="minorHAnsi" w:hAnsiTheme="minorHAnsi" w:cstheme="minorHAnsi"/>
                <w:sz w:val="22"/>
                <w:szCs w:val="22"/>
              </w:rPr>
            </w:pPr>
          </w:p>
        </w:tc>
        <w:tc>
          <w:tcPr>
            <w:tcW w:w="7745" w:type="dxa"/>
            <w:tcBorders>
              <w:bottom w:val="single" w:sz="4" w:space="0" w:color="auto"/>
            </w:tcBorders>
            <w:shd w:val="clear" w:color="auto" w:fill="auto"/>
            <w:tcMar>
              <w:left w:w="115" w:type="dxa"/>
              <w:right w:w="115" w:type="dxa"/>
            </w:tcMar>
          </w:tcPr>
          <w:p w:rsidR="0050155A" w:rsidRPr="002B47AF" w:rsidRDefault="0050155A" w:rsidP="00707130">
            <w:pPr>
              <w:ind w:right="168"/>
              <w:jc w:val="left"/>
              <w:rPr>
                <w:rFonts w:asciiTheme="minorHAnsi" w:hAnsiTheme="minorHAnsi" w:cstheme="minorHAnsi"/>
                <w:sz w:val="22"/>
                <w:szCs w:val="22"/>
                <w:highlight w:val="yellow"/>
              </w:rPr>
            </w:pPr>
          </w:p>
        </w:tc>
      </w:tr>
      <w:tr w:rsidR="0050155A" w:rsidRPr="002B47AF" w:rsidTr="00667F9F">
        <w:trPr>
          <w:trHeight w:val="1160"/>
          <w:jc w:val="center"/>
        </w:trPr>
        <w:tc>
          <w:tcPr>
            <w:tcW w:w="1705" w:type="dxa"/>
            <w:tcBorders>
              <w:top w:val="single" w:sz="4" w:space="0" w:color="auto"/>
              <w:bottom w:val="single" w:sz="4" w:space="0" w:color="auto"/>
              <w:right w:val="single" w:sz="4" w:space="0" w:color="auto"/>
            </w:tcBorders>
            <w:shd w:val="clear" w:color="auto" w:fill="auto"/>
            <w:tcMar>
              <w:left w:w="115" w:type="dxa"/>
              <w:right w:w="115" w:type="dxa"/>
            </w:tcMar>
          </w:tcPr>
          <w:p w:rsidR="0050155A" w:rsidRPr="002B47AF" w:rsidRDefault="0050155A" w:rsidP="00416187">
            <w:pPr>
              <w:ind w:right="-108"/>
              <w:rPr>
                <w:rFonts w:asciiTheme="minorHAnsi" w:hAnsiTheme="minorHAnsi" w:cstheme="minorHAnsi"/>
                <w:b/>
                <w:sz w:val="22"/>
                <w:szCs w:val="22"/>
              </w:rPr>
            </w:pPr>
            <w:r w:rsidRPr="002B47AF">
              <w:rPr>
                <w:rFonts w:asciiTheme="minorHAnsi" w:hAnsiTheme="minorHAnsi" w:cstheme="minorHAnsi"/>
                <w:b/>
                <w:sz w:val="22"/>
                <w:szCs w:val="22"/>
              </w:rPr>
              <w:t>Project Location:</w:t>
            </w:r>
          </w:p>
        </w:tc>
        <w:tc>
          <w:tcPr>
            <w:tcW w:w="7745" w:type="dxa"/>
            <w:tcBorders>
              <w:top w:val="single" w:sz="4" w:space="0" w:color="auto"/>
              <w:left w:val="single" w:sz="4" w:space="0" w:color="auto"/>
              <w:bottom w:val="single" w:sz="4" w:space="0" w:color="auto"/>
            </w:tcBorders>
            <w:shd w:val="clear" w:color="auto" w:fill="auto"/>
            <w:tcMar>
              <w:left w:w="115" w:type="dxa"/>
              <w:right w:w="115" w:type="dxa"/>
            </w:tcMar>
          </w:tcPr>
          <w:p w:rsidR="0050155A" w:rsidRPr="00CA6EDA" w:rsidRDefault="0050155A" w:rsidP="000E1857">
            <w:pPr>
              <w:ind w:right="168"/>
              <w:rPr>
                <w:rFonts w:asciiTheme="minorHAnsi" w:hAnsiTheme="minorHAnsi" w:cstheme="minorHAnsi"/>
                <w:bCs/>
                <w:sz w:val="22"/>
                <w:szCs w:val="22"/>
              </w:rPr>
            </w:pPr>
            <w:r>
              <w:rPr>
                <w:rFonts w:asciiTheme="minorHAnsi" w:hAnsiTheme="minorHAnsi" w:cstheme="minorHAnsi"/>
                <w:bCs/>
                <w:sz w:val="22"/>
                <w:szCs w:val="22"/>
              </w:rPr>
              <w:t xml:space="preserve">The subject properties are located on the north side of SW </w:t>
            </w:r>
            <w:proofErr w:type="spellStart"/>
            <w:r>
              <w:rPr>
                <w:rFonts w:asciiTheme="minorHAnsi" w:hAnsiTheme="minorHAnsi" w:cstheme="minorHAnsi"/>
                <w:bCs/>
                <w:sz w:val="22"/>
                <w:szCs w:val="22"/>
              </w:rPr>
              <w:t>Scholls</w:t>
            </w:r>
            <w:proofErr w:type="spellEnd"/>
            <w:r>
              <w:rPr>
                <w:rFonts w:asciiTheme="minorHAnsi" w:hAnsiTheme="minorHAnsi" w:cstheme="minorHAnsi"/>
                <w:bCs/>
                <w:sz w:val="22"/>
                <w:szCs w:val="22"/>
              </w:rPr>
              <w:t xml:space="preserve"> Ferry Road, east of SW 175</w:t>
            </w:r>
            <w:r w:rsidRPr="00D049B3">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Avenue, and west of Loon Drive.</w:t>
            </w:r>
          </w:p>
          <w:p w:rsidR="0050155A" w:rsidRDefault="0050155A" w:rsidP="000E1857">
            <w:pPr>
              <w:ind w:right="168"/>
              <w:rPr>
                <w:rFonts w:asciiTheme="minorHAnsi" w:hAnsiTheme="minorHAnsi" w:cstheme="minorHAnsi"/>
                <w:sz w:val="22"/>
                <w:szCs w:val="22"/>
              </w:rPr>
            </w:pPr>
          </w:p>
          <w:p w:rsidR="0050155A" w:rsidRPr="00CA6EDA" w:rsidRDefault="0050155A" w:rsidP="000B1BD0">
            <w:pPr>
              <w:ind w:right="168"/>
              <w:rPr>
                <w:rFonts w:asciiTheme="minorHAnsi" w:hAnsiTheme="minorHAnsi" w:cstheme="minorHAnsi"/>
                <w:sz w:val="22"/>
                <w:szCs w:val="22"/>
              </w:rPr>
            </w:pPr>
            <w:r w:rsidRPr="00CA6EDA">
              <w:rPr>
                <w:rFonts w:asciiTheme="minorHAnsi" w:hAnsiTheme="minorHAnsi" w:cstheme="minorHAnsi"/>
                <w:sz w:val="22"/>
                <w:szCs w:val="22"/>
              </w:rPr>
              <w:t xml:space="preserve">Tax Lots </w:t>
            </w:r>
            <w:r>
              <w:rPr>
                <w:rFonts w:asciiTheme="minorHAnsi" w:hAnsiTheme="minorHAnsi" w:cstheme="minorHAnsi"/>
                <w:sz w:val="22"/>
                <w:szCs w:val="22"/>
              </w:rPr>
              <w:t>103 and 200</w:t>
            </w:r>
            <w:r w:rsidRPr="00CA6EDA">
              <w:rPr>
                <w:rFonts w:asciiTheme="minorHAnsi" w:hAnsiTheme="minorHAnsi" w:cstheme="minorHAnsi"/>
                <w:sz w:val="22"/>
                <w:szCs w:val="22"/>
              </w:rPr>
              <w:t xml:space="preserve"> of Washington County Assessor’s Map </w:t>
            </w:r>
            <w:r>
              <w:rPr>
                <w:rFonts w:asciiTheme="minorHAnsi" w:hAnsiTheme="minorHAnsi" w:cstheme="minorHAnsi"/>
                <w:sz w:val="22"/>
                <w:szCs w:val="22"/>
              </w:rPr>
              <w:t>2S106.</w:t>
            </w:r>
          </w:p>
        </w:tc>
      </w:tr>
      <w:tr w:rsidR="0050155A" w:rsidRPr="002B47AF" w:rsidTr="0050155A">
        <w:trPr>
          <w:jc w:val="center"/>
        </w:trPr>
        <w:tc>
          <w:tcPr>
            <w:tcW w:w="1705" w:type="dxa"/>
            <w:tcBorders>
              <w:top w:val="single" w:sz="4" w:space="0" w:color="auto"/>
              <w:bottom w:val="single" w:sz="4" w:space="0" w:color="auto"/>
              <w:right w:val="single" w:sz="4" w:space="0" w:color="auto"/>
            </w:tcBorders>
            <w:shd w:val="clear" w:color="auto" w:fill="auto"/>
            <w:tcMar>
              <w:left w:w="115" w:type="dxa"/>
              <w:right w:w="115" w:type="dxa"/>
            </w:tcMar>
          </w:tcPr>
          <w:p w:rsidR="0050155A" w:rsidRPr="002B47AF" w:rsidRDefault="0050155A" w:rsidP="00504160">
            <w:pPr>
              <w:ind w:right="-108"/>
              <w:jc w:val="left"/>
              <w:rPr>
                <w:rFonts w:asciiTheme="minorHAnsi" w:hAnsiTheme="minorHAnsi" w:cstheme="minorHAnsi"/>
                <w:b/>
                <w:sz w:val="22"/>
                <w:szCs w:val="22"/>
              </w:rPr>
            </w:pPr>
            <w:r w:rsidRPr="002B47AF">
              <w:rPr>
                <w:rFonts w:asciiTheme="minorHAnsi" w:hAnsiTheme="minorHAnsi" w:cstheme="minorHAnsi"/>
                <w:b/>
                <w:sz w:val="22"/>
                <w:szCs w:val="22"/>
              </w:rPr>
              <w:t>Zoning &amp; NAC:</w:t>
            </w:r>
          </w:p>
        </w:tc>
        <w:tc>
          <w:tcPr>
            <w:tcW w:w="7745" w:type="dxa"/>
            <w:tcBorders>
              <w:top w:val="single" w:sz="4" w:space="0" w:color="auto"/>
              <w:left w:val="single" w:sz="4" w:space="0" w:color="auto"/>
              <w:bottom w:val="single" w:sz="4" w:space="0" w:color="auto"/>
            </w:tcBorders>
            <w:shd w:val="clear" w:color="auto" w:fill="auto"/>
            <w:tcMar>
              <w:left w:w="115" w:type="dxa"/>
              <w:right w:w="115" w:type="dxa"/>
            </w:tcMar>
          </w:tcPr>
          <w:p w:rsidR="0050155A" w:rsidRPr="00CA6EDA" w:rsidRDefault="0050155A" w:rsidP="00667F9F">
            <w:pPr>
              <w:spacing w:after="120"/>
              <w:ind w:right="168"/>
              <w:rPr>
                <w:rFonts w:asciiTheme="minorHAnsi" w:hAnsiTheme="minorHAnsi" w:cstheme="minorHAnsi"/>
                <w:sz w:val="22"/>
                <w:szCs w:val="22"/>
              </w:rPr>
            </w:pPr>
            <w:r>
              <w:rPr>
                <w:rFonts w:asciiTheme="minorHAnsi" w:hAnsiTheme="minorHAnsi" w:cstheme="minorHAnsi"/>
                <w:sz w:val="22"/>
                <w:szCs w:val="22"/>
              </w:rPr>
              <w:t>Urban High Density (R1), Urban Medium Density (R2, R4) and Urban Standard Density (R5, R7).</w:t>
            </w:r>
          </w:p>
        </w:tc>
      </w:tr>
      <w:tr w:rsidR="00667F9F" w:rsidRPr="002B47AF" w:rsidTr="0050155A">
        <w:trPr>
          <w:jc w:val="center"/>
        </w:trPr>
        <w:tc>
          <w:tcPr>
            <w:tcW w:w="1705" w:type="dxa"/>
            <w:tcBorders>
              <w:top w:val="single" w:sz="4" w:space="0" w:color="auto"/>
              <w:bottom w:val="single" w:sz="4" w:space="0" w:color="auto"/>
              <w:right w:val="single" w:sz="4" w:space="0" w:color="auto"/>
            </w:tcBorders>
            <w:shd w:val="clear" w:color="auto" w:fill="auto"/>
            <w:tcMar>
              <w:left w:w="115" w:type="dxa"/>
              <w:right w:w="115" w:type="dxa"/>
            </w:tcMar>
          </w:tcPr>
          <w:p w:rsidR="00667F9F" w:rsidRPr="002B47AF" w:rsidRDefault="00667F9F" w:rsidP="00504160">
            <w:pPr>
              <w:ind w:right="-108"/>
              <w:jc w:val="left"/>
              <w:rPr>
                <w:rFonts w:asciiTheme="minorHAnsi" w:hAnsiTheme="minorHAnsi" w:cstheme="minorHAnsi"/>
                <w:b/>
                <w:sz w:val="22"/>
                <w:szCs w:val="22"/>
              </w:rPr>
            </w:pPr>
            <w:r>
              <w:rPr>
                <w:rFonts w:asciiTheme="minorHAnsi" w:hAnsiTheme="minorHAnsi" w:cstheme="minorHAnsi"/>
                <w:b/>
                <w:sz w:val="22"/>
                <w:szCs w:val="22"/>
              </w:rPr>
              <w:t>Neighborhood</w:t>
            </w:r>
          </w:p>
        </w:tc>
        <w:tc>
          <w:tcPr>
            <w:tcW w:w="7745" w:type="dxa"/>
            <w:tcBorders>
              <w:top w:val="single" w:sz="4" w:space="0" w:color="auto"/>
              <w:left w:val="single" w:sz="4" w:space="0" w:color="auto"/>
              <w:bottom w:val="single" w:sz="4" w:space="0" w:color="auto"/>
            </w:tcBorders>
            <w:shd w:val="clear" w:color="auto" w:fill="auto"/>
            <w:tcMar>
              <w:left w:w="115" w:type="dxa"/>
              <w:right w:w="115" w:type="dxa"/>
            </w:tcMar>
          </w:tcPr>
          <w:p w:rsidR="00667F9F" w:rsidRDefault="00667F9F" w:rsidP="001D2A4C">
            <w:pPr>
              <w:spacing w:after="120"/>
              <w:ind w:right="168"/>
              <w:rPr>
                <w:rFonts w:asciiTheme="minorHAnsi" w:hAnsiTheme="minorHAnsi" w:cstheme="minorHAnsi"/>
                <w:sz w:val="22"/>
                <w:szCs w:val="22"/>
              </w:rPr>
            </w:pPr>
            <w:r>
              <w:rPr>
                <w:rFonts w:asciiTheme="minorHAnsi" w:hAnsiTheme="minorHAnsi" w:cstheme="minorHAnsi"/>
                <w:sz w:val="22"/>
                <w:szCs w:val="22"/>
              </w:rPr>
              <w:t>Neighbors Southwest Neighborhood Advisory Committee (NAC)</w:t>
            </w:r>
          </w:p>
        </w:tc>
      </w:tr>
      <w:tr w:rsidR="0050155A" w:rsidRPr="002B47AF" w:rsidTr="0050155A">
        <w:trPr>
          <w:jc w:val="center"/>
        </w:trPr>
        <w:tc>
          <w:tcPr>
            <w:tcW w:w="1705" w:type="dxa"/>
            <w:tcBorders>
              <w:top w:val="single" w:sz="4" w:space="0" w:color="auto"/>
              <w:bottom w:val="single" w:sz="4" w:space="0" w:color="auto"/>
              <w:right w:val="single" w:sz="4" w:space="0" w:color="auto"/>
            </w:tcBorders>
            <w:shd w:val="clear" w:color="auto" w:fill="auto"/>
            <w:tcMar>
              <w:left w:w="115" w:type="dxa"/>
              <w:right w:w="115" w:type="dxa"/>
            </w:tcMar>
          </w:tcPr>
          <w:p w:rsidR="0050155A" w:rsidRPr="002B47AF" w:rsidRDefault="0050155A" w:rsidP="00416187">
            <w:pPr>
              <w:ind w:right="-108"/>
              <w:rPr>
                <w:rFonts w:asciiTheme="minorHAnsi" w:hAnsiTheme="minorHAnsi" w:cstheme="minorHAnsi"/>
                <w:b/>
                <w:sz w:val="22"/>
                <w:szCs w:val="22"/>
              </w:rPr>
            </w:pPr>
            <w:r w:rsidRPr="002B47AF">
              <w:rPr>
                <w:rFonts w:asciiTheme="minorHAnsi" w:hAnsiTheme="minorHAnsi" w:cstheme="minorHAnsi"/>
                <w:b/>
                <w:sz w:val="22"/>
                <w:szCs w:val="22"/>
              </w:rPr>
              <w:t>Applicable Criteria:</w:t>
            </w:r>
          </w:p>
        </w:tc>
        <w:tc>
          <w:tcPr>
            <w:tcW w:w="7745" w:type="dxa"/>
            <w:tcBorders>
              <w:top w:val="single" w:sz="4" w:space="0" w:color="auto"/>
              <w:left w:val="single" w:sz="4" w:space="0" w:color="auto"/>
              <w:bottom w:val="single" w:sz="4" w:space="0" w:color="auto"/>
            </w:tcBorders>
            <w:shd w:val="clear" w:color="auto" w:fill="auto"/>
            <w:tcMar>
              <w:left w:w="115" w:type="dxa"/>
              <w:right w:w="115" w:type="dxa"/>
            </w:tcMar>
          </w:tcPr>
          <w:p w:rsidR="0050155A" w:rsidRPr="00CA6EDA" w:rsidRDefault="006C7C4E" w:rsidP="0050155A">
            <w:pPr>
              <w:spacing w:after="120"/>
              <w:ind w:right="168"/>
              <w:jc w:val="left"/>
              <w:rPr>
                <w:rFonts w:asciiTheme="minorHAnsi" w:hAnsiTheme="minorHAnsi" w:cstheme="minorHAnsi"/>
                <w:sz w:val="22"/>
                <w:szCs w:val="22"/>
              </w:rPr>
            </w:pPr>
            <w:r>
              <w:rPr>
                <w:rFonts w:asciiTheme="minorHAnsi" w:hAnsiTheme="minorHAnsi" w:cstheme="minorHAnsi"/>
                <w:sz w:val="22"/>
                <w:szCs w:val="22"/>
              </w:rPr>
              <w:t xml:space="preserve">Beaverton </w:t>
            </w:r>
            <w:r w:rsidR="0050155A">
              <w:rPr>
                <w:rFonts w:asciiTheme="minorHAnsi" w:hAnsiTheme="minorHAnsi" w:cstheme="minorHAnsi"/>
                <w:sz w:val="22"/>
                <w:szCs w:val="22"/>
              </w:rPr>
              <w:t>Development Code:</w:t>
            </w:r>
          </w:p>
          <w:p w:rsidR="0050155A" w:rsidRDefault="006C7C4E" w:rsidP="00D071E6">
            <w:pPr>
              <w:ind w:right="168"/>
              <w:jc w:val="left"/>
              <w:rPr>
                <w:rFonts w:asciiTheme="minorHAnsi" w:hAnsiTheme="minorHAnsi" w:cstheme="minorHAnsi"/>
                <w:sz w:val="22"/>
                <w:szCs w:val="22"/>
              </w:rPr>
            </w:pPr>
            <w:r>
              <w:rPr>
                <w:rFonts w:asciiTheme="minorHAnsi" w:hAnsiTheme="minorHAnsi" w:cstheme="minorHAnsi"/>
                <w:sz w:val="22"/>
                <w:szCs w:val="22"/>
              </w:rPr>
              <w:t xml:space="preserve">Chapter 40:  Section </w:t>
            </w:r>
            <w:r w:rsidR="0050155A" w:rsidRPr="00CA6EDA">
              <w:rPr>
                <w:rFonts w:asciiTheme="minorHAnsi" w:hAnsiTheme="minorHAnsi" w:cstheme="minorHAnsi"/>
                <w:sz w:val="22"/>
                <w:szCs w:val="22"/>
              </w:rPr>
              <w:t xml:space="preserve">40.03 </w:t>
            </w:r>
            <w:r w:rsidR="0050155A" w:rsidRPr="00CA6EDA">
              <w:rPr>
                <w:rFonts w:asciiTheme="minorHAnsi" w:hAnsiTheme="minorHAnsi" w:cstheme="minorHAnsi"/>
                <w:i/>
                <w:sz w:val="22"/>
                <w:szCs w:val="22"/>
              </w:rPr>
              <w:t>Facilities Review</w:t>
            </w:r>
            <w:r w:rsidR="0050155A" w:rsidRPr="00CA6EDA">
              <w:rPr>
                <w:rFonts w:asciiTheme="minorHAnsi" w:hAnsiTheme="minorHAnsi" w:cstheme="minorHAnsi"/>
                <w:sz w:val="22"/>
                <w:szCs w:val="22"/>
              </w:rPr>
              <w:t xml:space="preserve">, </w:t>
            </w:r>
          </w:p>
          <w:p w:rsidR="006C7C4E" w:rsidRDefault="006C7C4E" w:rsidP="00D071E6">
            <w:pPr>
              <w:ind w:right="168"/>
              <w:jc w:val="left"/>
              <w:rPr>
                <w:rFonts w:asciiTheme="minorHAnsi" w:hAnsiTheme="minorHAnsi" w:cstheme="minorHAnsi"/>
                <w:i/>
                <w:sz w:val="22"/>
                <w:szCs w:val="22"/>
              </w:rPr>
            </w:pPr>
            <w:r>
              <w:rPr>
                <w:rFonts w:asciiTheme="minorHAnsi" w:hAnsiTheme="minorHAnsi" w:cstheme="minorHAnsi"/>
                <w:sz w:val="22"/>
                <w:szCs w:val="22"/>
              </w:rPr>
              <w:t xml:space="preserve">Section </w:t>
            </w:r>
            <w:r w:rsidR="0050155A" w:rsidRPr="006C7C4E">
              <w:rPr>
                <w:rFonts w:asciiTheme="minorHAnsi" w:hAnsiTheme="minorHAnsi" w:cstheme="minorHAnsi"/>
                <w:sz w:val="22"/>
                <w:szCs w:val="22"/>
              </w:rPr>
              <w:t>40.15.15.4.C</w:t>
            </w:r>
            <w:r w:rsidR="0050155A">
              <w:rPr>
                <w:rFonts w:asciiTheme="minorHAnsi" w:hAnsiTheme="minorHAnsi" w:cstheme="minorHAnsi"/>
                <w:sz w:val="22"/>
                <w:szCs w:val="22"/>
              </w:rPr>
              <w:t xml:space="preserve"> </w:t>
            </w:r>
            <w:r w:rsidR="0050155A">
              <w:rPr>
                <w:rFonts w:asciiTheme="minorHAnsi" w:hAnsiTheme="minorHAnsi" w:cstheme="minorHAnsi"/>
                <w:i/>
                <w:sz w:val="22"/>
                <w:szCs w:val="22"/>
              </w:rPr>
              <w:t>Conditional Use – Planned Unit Development</w:t>
            </w:r>
          </w:p>
          <w:p w:rsidR="00247F8E" w:rsidRDefault="00247F8E" w:rsidP="00860778">
            <w:pPr>
              <w:ind w:right="168"/>
              <w:jc w:val="left"/>
              <w:rPr>
                <w:rFonts w:asciiTheme="minorHAnsi" w:hAnsiTheme="minorHAnsi" w:cstheme="minorHAnsi"/>
                <w:sz w:val="22"/>
                <w:szCs w:val="22"/>
              </w:rPr>
            </w:pPr>
            <w:r>
              <w:rPr>
                <w:rFonts w:asciiTheme="minorHAnsi" w:hAnsiTheme="minorHAnsi" w:cstheme="minorHAnsi"/>
                <w:sz w:val="22"/>
                <w:szCs w:val="22"/>
              </w:rPr>
              <w:t xml:space="preserve">Section 40.45.15.4.C </w:t>
            </w:r>
            <w:r w:rsidRPr="009660B2">
              <w:rPr>
                <w:rFonts w:asciiTheme="minorHAnsi" w:hAnsiTheme="minorHAnsi" w:cstheme="minorHAnsi"/>
                <w:i/>
                <w:sz w:val="22"/>
                <w:szCs w:val="22"/>
              </w:rPr>
              <w:t>Preliminary Partition</w:t>
            </w:r>
          </w:p>
          <w:p w:rsidR="0050155A" w:rsidRDefault="006C7C4E" w:rsidP="00860778">
            <w:pPr>
              <w:ind w:right="168"/>
              <w:jc w:val="left"/>
              <w:rPr>
                <w:rFonts w:asciiTheme="minorHAnsi" w:hAnsiTheme="minorHAnsi" w:cstheme="minorHAnsi"/>
                <w:i/>
                <w:sz w:val="22"/>
                <w:szCs w:val="22"/>
              </w:rPr>
            </w:pPr>
            <w:r>
              <w:rPr>
                <w:rFonts w:asciiTheme="minorHAnsi" w:hAnsiTheme="minorHAnsi" w:cstheme="minorHAnsi"/>
                <w:sz w:val="22"/>
                <w:szCs w:val="22"/>
              </w:rPr>
              <w:t xml:space="preserve">Section </w:t>
            </w:r>
            <w:r w:rsidR="0050155A">
              <w:rPr>
                <w:rFonts w:asciiTheme="minorHAnsi" w:hAnsiTheme="minorHAnsi" w:cstheme="minorHAnsi"/>
                <w:sz w:val="22"/>
                <w:szCs w:val="22"/>
              </w:rPr>
              <w:t>40.45</w:t>
            </w:r>
            <w:r w:rsidR="0050155A" w:rsidRPr="005B732E">
              <w:rPr>
                <w:rFonts w:asciiTheme="minorHAnsi" w:hAnsiTheme="minorHAnsi" w:cstheme="minorHAnsi"/>
                <w:sz w:val="22"/>
                <w:szCs w:val="22"/>
              </w:rPr>
              <w:t>.15.</w:t>
            </w:r>
            <w:r w:rsidR="0050155A">
              <w:rPr>
                <w:rFonts w:asciiTheme="minorHAnsi" w:hAnsiTheme="minorHAnsi" w:cstheme="minorHAnsi"/>
                <w:sz w:val="22"/>
                <w:szCs w:val="22"/>
              </w:rPr>
              <w:t xml:space="preserve">5.C </w:t>
            </w:r>
            <w:r w:rsidR="0050155A">
              <w:rPr>
                <w:rFonts w:asciiTheme="minorHAnsi" w:hAnsiTheme="minorHAnsi" w:cstheme="minorHAnsi"/>
                <w:i/>
                <w:sz w:val="22"/>
                <w:szCs w:val="22"/>
              </w:rPr>
              <w:t>Preliminary Subdivision</w:t>
            </w:r>
          </w:p>
          <w:p w:rsidR="0050155A" w:rsidRDefault="006C7C4E" w:rsidP="00860778">
            <w:pPr>
              <w:ind w:right="168"/>
              <w:jc w:val="left"/>
              <w:rPr>
                <w:rFonts w:asciiTheme="minorHAnsi" w:hAnsiTheme="minorHAnsi" w:cstheme="minorHAnsi"/>
                <w:i/>
                <w:sz w:val="22"/>
                <w:szCs w:val="22"/>
              </w:rPr>
            </w:pPr>
            <w:r>
              <w:rPr>
                <w:rFonts w:asciiTheme="minorHAnsi" w:hAnsiTheme="minorHAnsi" w:cstheme="minorHAnsi"/>
                <w:sz w:val="22"/>
                <w:szCs w:val="22"/>
              </w:rPr>
              <w:t xml:space="preserve">Section </w:t>
            </w:r>
            <w:r w:rsidR="0050155A" w:rsidRPr="005D7F49">
              <w:rPr>
                <w:rFonts w:asciiTheme="minorHAnsi" w:hAnsiTheme="minorHAnsi" w:cstheme="minorHAnsi"/>
                <w:sz w:val="22"/>
                <w:szCs w:val="22"/>
              </w:rPr>
              <w:t xml:space="preserve">40.90.15.2.C </w:t>
            </w:r>
            <w:r w:rsidR="0050155A" w:rsidRPr="005D7F49">
              <w:rPr>
                <w:rFonts w:asciiTheme="minorHAnsi" w:hAnsiTheme="minorHAnsi" w:cstheme="minorHAnsi"/>
                <w:i/>
                <w:sz w:val="22"/>
                <w:szCs w:val="22"/>
              </w:rPr>
              <w:t>Tree Plan Two</w:t>
            </w:r>
          </w:p>
          <w:p w:rsidR="0050155A" w:rsidRDefault="006C7C4E" w:rsidP="00860778">
            <w:pPr>
              <w:ind w:right="168"/>
              <w:jc w:val="left"/>
              <w:rPr>
                <w:rFonts w:asciiTheme="minorHAnsi" w:hAnsiTheme="minorHAnsi" w:cstheme="minorHAnsi"/>
                <w:i/>
                <w:sz w:val="22"/>
                <w:szCs w:val="22"/>
              </w:rPr>
            </w:pPr>
            <w:r>
              <w:rPr>
                <w:rFonts w:asciiTheme="minorHAnsi" w:hAnsiTheme="minorHAnsi" w:cstheme="minorHAnsi"/>
                <w:sz w:val="22"/>
                <w:szCs w:val="22"/>
              </w:rPr>
              <w:t xml:space="preserve">Chapter 50:  Section </w:t>
            </w:r>
            <w:r w:rsidR="0050155A">
              <w:rPr>
                <w:rFonts w:asciiTheme="minorHAnsi" w:hAnsiTheme="minorHAnsi" w:cstheme="minorHAnsi"/>
                <w:sz w:val="22"/>
                <w:szCs w:val="22"/>
              </w:rPr>
              <w:t xml:space="preserve">50.95 </w:t>
            </w:r>
            <w:r w:rsidR="0050155A">
              <w:rPr>
                <w:rFonts w:asciiTheme="minorHAnsi" w:hAnsiTheme="minorHAnsi" w:cstheme="minorHAnsi"/>
                <w:i/>
                <w:sz w:val="22"/>
                <w:szCs w:val="22"/>
              </w:rPr>
              <w:t>Modification of a Decision</w:t>
            </w:r>
          </w:p>
          <w:p w:rsidR="0050155A" w:rsidRPr="005D7F49" w:rsidRDefault="0050155A" w:rsidP="00247F8E">
            <w:pPr>
              <w:ind w:right="168"/>
              <w:jc w:val="left"/>
              <w:rPr>
                <w:rFonts w:asciiTheme="minorHAnsi" w:hAnsiTheme="minorHAnsi" w:cstheme="minorHAnsi"/>
                <w:i/>
                <w:sz w:val="22"/>
                <w:szCs w:val="22"/>
              </w:rPr>
            </w:pPr>
          </w:p>
        </w:tc>
      </w:tr>
      <w:tr w:rsidR="0050155A" w:rsidRPr="002B47AF" w:rsidTr="0050155A">
        <w:trPr>
          <w:jc w:val="center"/>
        </w:trPr>
        <w:tc>
          <w:tcPr>
            <w:tcW w:w="1705" w:type="dxa"/>
            <w:tcBorders>
              <w:top w:val="single" w:sz="4" w:space="0" w:color="auto"/>
              <w:bottom w:val="single" w:sz="4" w:space="0" w:color="auto"/>
              <w:right w:val="single" w:sz="4" w:space="0" w:color="auto"/>
            </w:tcBorders>
            <w:shd w:val="clear" w:color="auto" w:fill="auto"/>
            <w:tcMar>
              <w:left w:w="115" w:type="dxa"/>
              <w:right w:w="115" w:type="dxa"/>
            </w:tcMar>
            <w:vAlign w:val="center"/>
          </w:tcPr>
          <w:p w:rsidR="0050155A" w:rsidRPr="002B47AF" w:rsidRDefault="0050155A" w:rsidP="003A6D45">
            <w:pPr>
              <w:ind w:right="-108"/>
              <w:jc w:val="left"/>
              <w:rPr>
                <w:rFonts w:asciiTheme="minorHAnsi" w:hAnsiTheme="minorHAnsi" w:cstheme="minorHAnsi"/>
                <w:b/>
                <w:sz w:val="22"/>
                <w:szCs w:val="22"/>
              </w:rPr>
            </w:pPr>
            <w:r w:rsidRPr="002B47AF">
              <w:rPr>
                <w:rFonts w:asciiTheme="minorHAnsi" w:hAnsiTheme="minorHAnsi" w:cstheme="minorHAnsi"/>
                <w:b/>
                <w:sz w:val="22"/>
                <w:szCs w:val="22"/>
              </w:rPr>
              <w:t xml:space="preserve">Due Date for </w:t>
            </w:r>
          </w:p>
          <w:p w:rsidR="0050155A" w:rsidRPr="002B47AF" w:rsidRDefault="0050155A" w:rsidP="003A6D45">
            <w:pPr>
              <w:ind w:right="-108"/>
              <w:jc w:val="left"/>
              <w:rPr>
                <w:rFonts w:asciiTheme="minorHAnsi" w:hAnsiTheme="minorHAnsi" w:cstheme="minorHAnsi"/>
                <w:b/>
                <w:sz w:val="22"/>
                <w:szCs w:val="22"/>
              </w:rPr>
            </w:pPr>
            <w:r w:rsidRPr="002B47AF">
              <w:rPr>
                <w:rFonts w:asciiTheme="minorHAnsi" w:hAnsiTheme="minorHAnsi" w:cstheme="minorHAnsi"/>
                <w:b/>
                <w:sz w:val="22"/>
                <w:szCs w:val="22"/>
              </w:rPr>
              <w:t>Written Comments</w:t>
            </w:r>
            <w:r>
              <w:rPr>
                <w:rFonts w:asciiTheme="minorHAnsi" w:hAnsiTheme="minorHAnsi" w:cstheme="minorHAnsi"/>
                <w:b/>
                <w:sz w:val="22"/>
                <w:szCs w:val="22"/>
              </w:rPr>
              <w:t xml:space="preserve"> to be included in staff report</w:t>
            </w:r>
            <w:r w:rsidRPr="002B47AF">
              <w:rPr>
                <w:rFonts w:asciiTheme="minorHAnsi" w:hAnsiTheme="minorHAnsi" w:cstheme="minorHAnsi"/>
                <w:b/>
                <w:sz w:val="22"/>
                <w:szCs w:val="22"/>
              </w:rPr>
              <w:t>:</w:t>
            </w:r>
          </w:p>
        </w:tc>
        <w:tc>
          <w:tcPr>
            <w:tcW w:w="7745" w:type="dxa"/>
            <w:tcBorders>
              <w:top w:val="single" w:sz="4" w:space="0" w:color="auto"/>
              <w:left w:val="single" w:sz="4" w:space="0" w:color="auto"/>
              <w:bottom w:val="single" w:sz="4" w:space="0" w:color="auto"/>
            </w:tcBorders>
            <w:shd w:val="clear" w:color="auto" w:fill="auto"/>
            <w:tcMar>
              <w:left w:w="115" w:type="dxa"/>
              <w:right w:w="115" w:type="dxa"/>
            </w:tcMar>
          </w:tcPr>
          <w:p w:rsidR="0050155A" w:rsidRPr="005D7F49" w:rsidRDefault="0050155A" w:rsidP="00707130">
            <w:pPr>
              <w:ind w:right="-108"/>
              <w:jc w:val="left"/>
              <w:rPr>
                <w:rFonts w:asciiTheme="minorHAnsi" w:hAnsiTheme="minorHAnsi" w:cstheme="minorHAnsi"/>
                <w:b/>
                <w:sz w:val="22"/>
                <w:szCs w:val="22"/>
              </w:rPr>
            </w:pPr>
          </w:p>
          <w:p w:rsidR="0050155A" w:rsidRDefault="0050155A" w:rsidP="003A6D45">
            <w:pPr>
              <w:ind w:right="-108"/>
              <w:jc w:val="left"/>
              <w:rPr>
                <w:rFonts w:asciiTheme="minorHAnsi" w:hAnsiTheme="minorHAnsi" w:cstheme="minorHAnsi"/>
                <w:b/>
                <w:sz w:val="22"/>
                <w:szCs w:val="22"/>
              </w:rPr>
            </w:pPr>
          </w:p>
          <w:p w:rsidR="0050155A" w:rsidRPr="005D7F49" w:rsidRDefault="0050155A" w:rsidP="00247F8E">
            <w:pPr>
              <w:ind w:right="-108"/>
              <w:jc w:val="left"/>
              <w:rPr>
                <w:rFonts w:asciiTheme="minorHAnsi" w:hAnsiTheme="minorHAnsi" w:cstheme="minorHAnsi"/>
                <w:b/>
                <w:sz w:val="22"/>
                <w:szCs w:val="22"/>
              </w:rPr>
            </w:pPr>
            <w:r w:rsidRPr="005D7F49">
              <w:rPr>
                <w:rFonts w:asciiTheme="minorHAnsi" w:hAnsiTheme="minorHAnsi" w:cstheme="minorHAnsi"/>
                <w:b/>
                <w:sz w:val="22"/>
                <w:szCs w:val="22"/>
              </w:rPr>
              <w:t>No later than 4:</w:t>
            </w:r>
            <w:r w:rsidR="00247F8E">
              <w:rPr>
                <w:rFonts w:asciiTheme="minorHAnsi" w:hAnsiTheme="minorHAnsi" w:cstheme="minorHAnsi"/>
                <w:b/>
                <w:sz w:val="22"/>
                <w:szCs w:val="22"/>
              </w:rPr>
              <w:t>3</w:t>
            </w:r>
            <w:r w:rsidR="00247F8E" w:rsidRPr="005D7F49">
              <w:rPr>
                <w:rFonts w:asciiTheme="minorHAnsi" w:hAnsiTheme="minorHAnsi" w:cstheme="minorHAnsi"/>
                <w:b/>
                <w:sz w:val="22"/>
                <w:szCs w:val="22"/>
              </w:rPr>
              <w:t xml:space="preserve">0 </w:t>
            </w:r>
            <w:r w:rsidRPr="005D7F49">
              <w:rPr>
                <w:rFonts w:asciiTheme="minorHAnsi" w:hAnsiTheme="minorHAnsi" w:cstheme="minorHAnsi"/>
                <w:b/>
                <w:sz w:val="22"/>
                <w:szCs w:val="22"/>
              </w:rPr>
              <w:t xml:space="preserve">PM, </w:t>
            </w:r>
            <w:r>
              <w:rPr>
                <w:rFonts w:asciiTheme="minorHAnsi" w:hAnsiTheme="minorHAnsi" w:cstheme="minorHAnsi"/>
                <w:b/>
                <w:sz w:val="22"/>
                <w:szCs w:val="22"/>
              </w:rPr>
              <w:t>Friday</w:t>
            </w:r>
            <w:r w:rsidRPr="005D7F49">
              <w:rPr>
                <w:rFonts w:asciiTheme="minorHAnsi" w:hAnsiTheme="minorHAnsi" w:cstheme="minorHAnsi"/>
                <w:b/>
                <w:sz w:val="22"/>
                <w:szCs w:val="22"/>
              </w:rPr>
              <w:t xml:space="preserve">, </w:t>
            </w:r>
            <w:r w:rsidR="00667F9F">
              <w:rPr>
                <w:rFonts w:asciiTheme="minorHAnsi" w:hAnsiTheme="minorHAnsi" w:cstheme="minorHAnsi"/>
                <w:b/>
                <w:sz w:val="22"/>
                <w:szCs w:val="22"/>
              </w:rPr>
              <w:t>September 15, 2017</w:t>
            </w:r>
          </w:p>
        </w:tc>
      </w:tr>
      <w:tr w:rsidR="0050155A" w:rsidRPr="002B47AF" w:rsidTr="0050155A">
        <w:trPr>
          <w:jc w:val="center"/>
        </w:trPr>
        <w:tc>
          <w:tcPr>
            <w:tcW w:w="1705" w:type="dxa"/>
            <w:tcBorders>
              <w:top w:val="single" w:sz="4" w:space="0" w:color="auto"/>
              <w:bottom w:val="single" w:sz="4" w:space="0" w:color="auto"/>
              <w:right w:val="single" w:sz="4" w:space="0" w:color="auto"/>
            </w:tcBorders>
            <w:shd w:val="clear" w:color="auto" w:fill="auto"/>
            <w:tcMar>
              <w:left w:w="115" w:type="dxa"/>
              <w:right w:w="115" w:type="dxa"/>
            </w:tcMar>
          </w:tcPr>
          <w:p w:rsidR="0050155A" w:rsidRPr="002B47AF" w:rsidRDefault="0050155A" w:rsidP="00AA19F0">
            <w:pPr>
              <w:ind w:right="-108"/>
              <w:jc w:val="left"/>
              <w:rPr>
                <w:rFonts w:asciiTheme="minorHAnsi" w:hAnsiTheme="minorHAnsi" w:cstheme="minorHAnsi"/>
                <w:b/>
                <w:sz w:val="22"/>
                <w:szCs w:val="22"/>
              </w:rPr>
            </w:pPr>
            <w:r>
              <w:rPr>
                <w:rFonts w:asciiTheme="minorHAnsi" w:hAnsiTheme="minorHAnsi" w:cstheme="minorHAnsi"/>
                <w:b/>
                <w:sz w:val="22"/>
                <w:szCs w:val="22"/>
              </w:rPr>
              <w:lastRenderedPageBreak/>
              <w:t>Hearing Time and Place</w:t>
            </w:r>
            <w:r w:rsidRPr="002B47AF">
              <w:rPr>
                <w:rFonts w:asciiTheme="minorHAnsi" w:hAnsiTheme="minorHAnsi" w:cstheme="minorHAnsi"/>
                <w:b/>
                <w:sz w:val="22"/>
                <w:szCs w:val="22"/>
              </w:rPr>
              <w:t>:</w:t>
            </w:r>
          </w:p>
        </w:tc>
        <w:tc>
          <w:tcPr>
            <w:tcW w:w="7745" w:type="dxa"/>
            <w:tcBorders>
              <w:top w:val="single" w:sz="4" w:space="0" w:color="auto"/>
              <w:left w:val="single" w:sz="4" w:space="0" w:color="auto"/>
              <w:bottom w:val="single" w:sz="4" w:space="0" w:color="auto"/>
            </w:tcBorders>
            <w:shd w:val="clear" w:color="auto" w:fill="auto"/>
            <w:tcMar>
              <w:left w:w="115" w:type="dxa"/>
              <w:right w:w="115" w:type="dxa"/>
            </w:tcMar>
          </w:tcPr>
          <w:p w:rsidR="0050155A" w:rsidRDefault="0050155A" w:rsidP="000B1BD0">
            <w:pPr>
              <w:rPr>
                <w:rFonts w:asciiTheme="minorHAnsi" w:hAnsiTheme="minorHAnsi" w:cstheme="minorHAnsi"/>
                <w:b/>
                <w:sz w:val="22"/>
                <w:szCs w:val="22"/>
              </w:rPr>
            </w:pPr>
            <w:r>
              <w:rPr>
                <w:rFonts w:asciiTheme="minorHAnsi" w:hAnsiTheme="minorHAnsi" w:cstheme="minorHAnsi"/>
                <w:b/>
                <w:sz w:val="22"/>
                <w:szCs w:val="22"/>
              </w:rPr>
              <w:t>City Council Chambers, First Floor, Beaverton Building</w:t>
            </w:r>
          </w:p>
          <w:p w:rsidR="0050155A" w:rsidRDefault="0050155A" w:rsidP="000B1BD0">
            <w:pPr>
              <w:rPr>
                <w:rFonts w:asciiTheme="minorHAnsi" w:hAnsiTheme="minorHAnsi" w:cstheme="minorHAnsi"/>
                <w:b/>
                <w:sz w:val="22"/>
                <w:szCs w:val="22"/>
              </w:rPr>
            </w:pPr>
            <w:r>
              <w:rPr>
                <w:rFonts w:asciiTheme="minorHAnsi" w:hAnsiTheme="minorHAnsi" w:cstheme="minorHAnsi"/>
                <w:b/>
                <w:sz w:val="22"/>
                <w:szCs w:val="22"/>
              </w:rPr>
              <w:t>12725 SW Millikan Way</w:t>
            </w:r>
          </w:p>
          <w:p w:rsidR="0050155A" w:rsidRPr="00AA19F0" w:rsidRDefault="0050155A" w:rsidP="000B1BD0">
            <w:pPr>
              <w:rPr>
                <w:rFonts w:asciiTheme="minorHAnsi" w:hAnsiTheme="minorHAnsi" w:cstheme="minorHAnsi"/>
                <w:b/>
                <w:sz w:val="22"/>
                <w:szCs w:val="22"/>
              </w:rPr>
            </w:pPr>
            <w:r>
              <w:rPr>
                <w:rFonts w:asciiTheme="minorHAnsi" w:hAnsiTheme="minorHAnsi" w:cstheme="minorHAnsi"/>
                <w:b/>
                <w:sz w:val="22"/>
                <w:szCs w:val="22"/>
              </w:rPr>
              <w:t>December 2, 2015</w:t>
            </w:r>
          </w:p>
        </w:tc>
      </w:tr>
      <w:tr w:rsidR="0050155A" w:rsidRPr="002B47AF" w:rsidTr="0050155A">
        <w:trPr>
          <w:trHeight w:val="882"/>
          <w:jc w:val="center"/>
        </w:trPr>
        <w:tc>
          <w:tcPr>
            <w:tcW w:w="1705" w:type="dxa"/>
            <w:tcBorders>
              <w:top w:val="single" w:sz="4" w:space="0" w:color="auto"/>
              <w:bottom w:val="single" w:sz="4" w:space="0" w:color="auto"/>
              <w:right w:val="single" w:sz="4" w:space="0" w:color="auto"/>
            </w:tcBorders>
            <w:shd w:val="clear" w:color="auto" w:fill="auto"/>
            <w:tcMar>
              <w:left w:w="115" w:type="dxa"/>
              <w:right w:w="115" w:type="dxa"/>
            </w:tcMar>
          </w:tcPr>
          <w:p w:rsidR="0050155A" w:rsidRDefault="0050155A" w:rsidP="00416187">
            <w:pPr>
              <w:ind w:right="-108"/>
              <w:rPr>
                <w:rFonts w:asciiTheme="minorHAnsi" w:hAnsiTheme="minorHAnsi" w:cstheme="minorHAnsi"/>
                <w:b/>
                <w:sz w:val="22"/>
                <w:szCs w:val="22"/>
              </w:rPr>
            </w:pPr>
          </w:p>
          <w:p w:rsidR="0050155A" w:rsidRPr="002B47AF" w:rsidRDefault="0050155A" w:rsidP="00416187">
            <w:pPr>
              <w:ind w:right="-108"/>
              <w:rPr>
                <w:rFonts w:asciiTheme="minorHAnsi" w:hAnsiTheme="minorHAnsi" w:cstheme="minorHAnsi"/>
                <w:b/>
                <w:sz w:val="22"/>
                <w:szCs w:val="22"/>
              </w:rPr>
            </w:pPr>
            <w:r w:rsidRPr="002B47AF">
              <w:rPr>
                <w:rFonts w:asciiTheme="minorHAnsi" w:hAnsiTheme="minorHAnsi" w:cstheme="minorHAnsi"/>
                <w:b/>
                <w:sz w:val="22"/>
                <w:szCs w:val="22"/>
              </w:rPr>
              <w:t>Staff Contact:</w:t>
            </w:r>
          </w:p>
        </w:tc>
        <w:tc>
          <w:tcPr>
            <w:tcW w:w="7745" w:type="dxa"/>
            <w:tcBorders>
              <w:top w:val="single" w:sz="4" w:space="0" w:color="auto"/>
              <w:left w:val="single" w:sz="4" w:space="0" w:color="auto"/>
              <w:bottom w:val="single" w:sz="4" w:space="0" w:color="auto"/>
            </w:tcBorders>
            <w:shd w:val="clear" w:color="auto" w:fill="auto"/>
            <w:tcMar>
              <w:left w:w="115" w:type="dxa"/>
              <w:right w:w="115" w:type="dxa"/>
            </w:tcMar>
          </w:tcPr>
          <w:p w:rsidR="0050155A" w:rsidRDefault="0050155A" w:rsidP="00707130">
            <w:pPr>
              <w:jc w:val="left"/>
              <w:rPr>
                <w:rFonts w:asciiTheme="minorHAnsi" w:hAnsiTheme="minorHAnsi" w:cstheme="minorHAnsi"/>
                <w:sz w:val="22"/>
                <w:szCs w:val="22"/>
              </w:rPr>
            </w:pPr>
          </w:p>
          <w:p w:rsidR="0050155A" w:rsidRPr="005D7F49" w:rsidRDefault="0050155A" w:rsidP="00707130">
            <w:pPr>
              <w:jc w:val="left"/>
              <w:rPr>
                <w:rFonts w:asciiTheme="minorHAnsi" w:hAnsiTheme="minorHAnsi" w:cstheme="minorHAnsi"/>
                <w:sz w:val="22"/>
                <w:szCs w:val="22"/>
              </w:rPr>
            </w:pPr>
            <w:r>
              <w:rPr>
                <w:rFonts w:asciiTheme="minorHAnsi" w:hAnsiTheme="minorHAnsi" w:cstheme="minorHAnsi"/>
                <w:sz w:val="22"/>
                <w:szCs w:val="22"/>
              </w:rPr>
              <w:t xml:space="preserve">Sandra </w:t>
            </w:r>
            <w:r w:rsidR="008001AE">
              <w:rPr>
                <w:rFonts w:asciiTheme="minorHAnsi" w:hAnsiTheme="minorHAnsi" w:cstheme="minorHAnsi"/>
                <w:sz w:val="22"/>
                <w:szCs w:val="22"/>
              </w:rPr>
              <w:t>Freund</w:t>
            </w:r>
            <w:r>
              <w:rPr>
                <w:rFonts w:asciiTheme="minorHAnsi" w:hAnsiTheme="minorHAnsi" w:cstheme="minorHAnsi"/>
                <w:sz w:val="22"/>
                <w:szCs w:val="22"/>
              </w:rPr>
              <w:t xml:space="preserve">, AICP, Planning </w:t>
            </w:r>
            <w:r w:rsidR="008001AE">
              <w:rPr>
                <w:rFonts w:asciiTheme="minorHAnsi" w:hAnsiTheme="minorHAnsi" w:cstheme="minorHAnsi"/>
                <w:sz w:val="22"/>
                <w:szCs w:val="22"/>
              </w:rPr>
              <w:t>Supervisor/ Development Process Coordinator</w:t>
            </w:r>
            <w:r w:rsidRPr="005D7F49">
              <w:rPr>
                <w:rFonts w:asciiTheme="minorHAnsi" w:hAnsiTheme="minorHAnsi" w:cstheme="minorHAnsi"/>
                <w:sz w:val="22"/>
                <w:szCs w:val="22"/>
              </w:rPr>
              <w:t xml:space="preserve"> (503) 526-</w:t>
            </w:r>
            <w:r>
              <w:rPr>
                <w:rFonts w:asciiTheme="minorHAnsi" w:hAnsiTheme="minorHAnsi" w:cstheme="minorHAnsi"/>
                <w:sz w:val="22"/>
                <w:szCs w:val="22"/>
              </w:rPr>
              <w:t>3718</w:t>
            </w:r>
          </w:p>
          <w:p w:rsidR="0050155A" w:rsidRDefault="00D67061" w:rsidP="00707130">
            <w:pPr>
              <w:jc w:val="left"/>
              <w:rPr>
                <w:rFonts w:asciiTheme="minorHAnsi" w:hAnsiTheme="minorHAnsi" w:cstheme="minorHAnsi"/>
                <w:sz w:val="22"/>
                <w:szCs w:val="22"/>
              </w:rPr>
            </w:pPr>
            <w:hyperlink r:id="rId8" w:history="1">
              <w:r w:rsidR="008001AE" w:rsidRPr="00A22564">
                <w:rPr>
                  <w:rStyle w:val="Hyperlink"/>
                  <w:rFonts w:asciiTheme="minorHAnsi" w:hAnsiTheme="minorHAnsi" w:cstheme="minorHAnsi"/>
                  <w:sz w:val="22"/>
                  <w:szCs w:val="22"/>
                </w:rPr>
                <w:t>sfreund@BeavertonOregon.gov</w:t>
              </w:r>
            </w:hyperlink>
          </w:p>
          <w:p w:rsidR="0050155A" w:rsidRPr="005D7F49" w:rsidRDefault="0050155A" w:rsidP="00707130">
            <w:pPr>
              <w:jc w:val="left"/>
              <w:rPr>
                <w:rFonts w:asciiTheme="minorHAnsi" w:hAnsiTheme="minorHAnsi" w:cstheme="minorHAnsi"/>
                <w:sz w:val="22"/>
                <w:szCs w:val="22"/>
              </w:rPr>
            </w:pPr>
          </w:p>
        </w:tc>
      </w:tr>
    </w:tbl>
    <w:p w:rsidR="008241C3" w:rsidRPr="00EB122B" w:rsidRDefault="008241C3" w:rsidP="008241C3">
      <w:pPr>
        <w:spacing w:before="240"/>
        <w:rPr>
          <w:rFonts w:ascii="Arial" w:hAnsi="Arial" w:cs="Arial"/>
          <w:sz w:val="22"/>
          <w:szCs w:val="22"/>
        </w:rPr>
      </w:pPr>
      <w:r w:rsidRPr="00EB122B">
        <w:rPr>
          <w:rFonts w:ascii="Arial" w:hAnsi="Arial" w:cs="Arial"/>
          <w:sz w:val="22"/>
          <w:szCs w:val="22"/>
        </w:rPr>
        <w:t xml:space="preserve">Mailed written comments to the Commission should be sent to the attention of </w:t>
      </w:r>
      <w:r>
        <w:rPr>
          <w:rFonts w:ascii="Arial" w:hAnsi="Arial" w:cs="Arial"/>
          <w:b/>
          <w:sz w:val="22"/>
          <w:szCs w:val="22"/>
        </w:rPr>
        <w:t xml:space="preserve">Sandra </w:t>
      </w:r>
      <w:r w:rsidR="00667F9F">
        <w:rPr>
          <w:rFonts w:ascii="Arial" w:hAnsi="Arial" w:cs="Arial"/>
          <w:b/>
          <w:sz w:val="22"/>
          <w:szCs w:val="22"/>
        </w:rPr>
        <w:t>Freund</w:t>
      </w:r>
      <w:r w:rsidRPr="00EB122B">
        <w:rPr>
          <w:rFonts w:ascii="Arial" w:hAnsi="Arial" w:cs="Arial"/>
          <w:sz w:val="22"/>
          <w:szCs w:val="22"/>
        </w:rPr>
        <w:t xml:space="preserve">, Planning Division, </w:t>
      </w:r>
      <w:proofErr w:type="gramStart"/>
      <w:r w:rsidRPr="00EB122B">
        <w:rPr>
          <w:rFonts w:ascii="Arial" w:hAnsi="Arial" w:cs="Arial"/>
          <w:sz w:val="22"/>
          <w:szCs w:val="22"/>
        </w:rPr>
        <w:t>PO</w:t>
      </w:r>
      <w:proofErr w:type="gramEnd"/>
      <w:r w:rsidRPr="00EB122B">
        <w:rPr>
          <w:rFonts w:ascii="Arial" w:hAnsi="Arial" w:cs="Arial"/>
          <w:sz w:val="22"/>
          <w:szCs w:val="22"/>
        </w:rPr>
        <w:t xml:space="preserve"> Box 4755, </w:t>
      </w:r>
      <w:r w:rsidRPr="0006794D">
        <w:rPr>
          <w:rFonts w:ascii="Arial" w:hAnsi="Arial" w:cs="Arial"/>
          <w:sz w:val="22"/>
          <w:szCs w:val="22"/>
        </w:rPr>
        <w:t xml:space="preserve">Beaverton, OR 97076.  To be made a part of the staff report, correspondence needs to be received by </w:t>
      </w:r>
      <w:r w:rsidRPr="0006794D">
        <w:rPr>
          <w:rFonts w:ascii="Arial" w:hAnsi="Arial" w:cs="Arial"/>
          <w:b/>
          <w:sz w:val="22"/>
          <w:szCs w:val="22"/>
        </w:rPr>
        <w:t xml:space="preserve">Friday, </w:t>
      </w:r>
      <w:r w:rsidR="00667F9F">
        <w:rPr>
          <w:rFonts w:ascii="Arial" w:hAnsi="Arial" w:cs="Arial"/>
          <w:b/>
          <w:sz w:val="22"/>
          <w:szCs w:val="22"/>
        </w:rPr>
        <w:t>September 15, 2017</w:t>
      </w:r>
      <w:r w:rsidRPr="0006794D">
        <w:rPr>
          <w:rFonts w:ascii="Arial" w:hAnsi="Arial" w:cs="Arial"/>
          <w:sz w:val="22"/>
          <w:szCs w:val="22"/>
        </w:rPr>
        <w:t>.  Please reference the Case File Number(s) and Project Name in your written comments.  If you decide to submit</w:t>
      </w:r>
      <w:r w:rsidRPr="00CD10C0">
        <w:rPr>
          <w:rFonts w:ascii="Arial" w:hAnsi="Arial" w:cs="Arial"/>
          <w:sz w:val="22"/>
          <w:szCs w:val="22"/>
        </w:rPr>
        <w:t xml:space="preserve"> written comments or exhibits before the public hearing, all submittals prior to or at the hearing that are more than two (2) letter size pages must include no fewer than ten (10) complete copies of the materials being</w:t>
      </w:r>
      <w:r w:rsidRPr="00EB122B">
        <w:rPr>
          <w:rFonts w:ascii="Arial" w:hAnsi="Arial" w:cs="Arial"/>
          <w:sz w:val="22"/>
          <w:szCs w:val="22"/>
        </w:rPr>
        <w:t xml:space="preserve"> submitted.</w:t>
      </w:r>
    </w:p>
    <w:p w:rsidR="008241C3" w:rsidRPr="00EB122B" w:rsidRDefault="008241C3" w:rsidP="008241C3">
      <w:pPr>
        <w:rPr>
          <w:rFonts w:ascii="Arial" w:hAnsi="Arial" w:cs="Arial"/>
          <w:b/>
          <w:sz w:val="22"/>
          <w:szCs w:val="22"/>
        </w:rPr>
      </w:pPr>
    </w:p>
    <w:p w:rsidR="008241C3" w:rsidRPr="00EB122B" w:rsidRDefault="008241C3" w:rsidP="008241C3">
      <w:pPr>
        <w:rPr>
          <w:rFonts w:ascii="Arial" w:hAnsi="Arial" w:cs="Arial"/>
          <w:b/>
          <w:sz w:val="22"/>
          <w:szCs w:val="22"/>
          <w:u w:val="single"/>
        </w:rPr>
      </w:pPr>
      <w:r w:rsidRPr="00EB122B">
        <w:rPr>
          <w:rFonts w:ascii="Arial" w:hAnsi="Arial" w:cs="Arial"/>
          <w:b/>
          <w:sz w:val="22"/>
          <w:szCs w:val="22"/>
        </w:rPr>
        <w:t>Facilities Review Committee Meeting Date:</w:t>
      </w:r>
      <w:r w:rsidRPr="00EB122B">
        <w:rPr>
          <w:rFonts w:ascii="Arial" w:hAnsi="Arial" w:cs="Arial"/>
          <w:sz w:val="22"/>
          <w:szCs w:val="22"/>
        </w:rPr>
        <w:t xml:space="preserve"> </w:t>
      </w:r>
      <w:r w:rsidRPr="00EB122B">
        <w:rPr>
          <w:rFonts w:ascii="Arial" w:hAnsi="Arial" w:cs="Arial"/>
          <w:sz w:val="22"/>
          <w:szCs w:val="22"/>
        </w:rPr>
        <w:tab/>
      </w:r>
      <w:r w:rsidRPr="00EB122B">
        <w:rPr>
          <w:rFonts w:ascii="Arial" w:hAnsi="Arial" w:cs="Arial"/>
          <w:b/>
          <w:sz w:val="22"/>
          <w:szCs w:val="22"/>
          <w:u w:val="single"/>
        </w:rPr>
        <w:t xml:space="preserve">   </w:t>
      </w:r>
      <w:r w:rsidR="00667F9F">
        <w:rPr>
          <w:rFonts w:ascii="Arial" w:hAnsi="Arial" w:cs="Arial"/>
          <w:b/>
          <w:sz w:val="22"/>
          <w:szCs w:val="22"/>
          <w:u w:val="single"/>
        </w:rPr>
        <w:t>September 6, 2017</w:t>
      </w:r>
      <w:r w:rsidRPr="00EB122B">
        <w:rPr>
          <w:rFonts w:ascii="Arial" w:hAnsi="Arial" w:cs="Arial"/>
          <w:b/>
          <w:sz w:val="22"/>
          <w:szCs w:val="22"/>
          <w:u w:val="single"/>
        </w:rPr>
        <w:tab/>
      </w:r>
    </w:p>
    <w:p w:rsidR="008241C3" w:rsidRDefault="008241C3" w:rsidP="008241C3">
      <w:pPr>
        <w:jc w:val="left"/>
        <w:rPr>
          <w:rFonts w:ascii="Arial" w:hAnsi="Arial" w:cs="Arial"/>
          <w:sz w:val="22"/>
          <w:szCs w:val="22"/>
        </w:rPr>
      </w:pPr>
    </w:p>
    <w:p w:rsidR="008241C3" w:rsidRPr="00EB122B" w:rsidRDefault="008241C3" w:rsidP="008241C3">
      <w:pPr>
        <w:spacing w:after="120"/>
        <w:rPr>
          <w:rFonts w:ascii="Arial" w:hAnsi="Arial" w:cs="Arial"/>
        </w:rPr>
      </w:pPr>
      <w:r w:rsidRPr="00EB122B">
        <w:rPr>
          <w:rFonts w:ascii="Arial" w:hAnsi="Arial" w:cs="Arial"/>
          <w:sz w:val="22"/>
          <w:szCs w:val="22"/>
        </w:rPr>
        <w:t xml:space="preserve">The Facilities Review Committee is not a decision-making body, but advises the Director and Planning Commission on a project’s conformity to the technical criteria specified in Section 40.03 of the Beaverton Development Code.  The Director will include the Committee’s recommendation in the staff report to the decision-making authority. </w:t>
      </w:r>
      <w:r>
        <w:rPr>
          <w:rFonts w:ascii="Arial" w:hAnsi="Arial" w:cs="Arial"/>
          <w:sz w:val="22"/>
          <w:szCs w:val="22"/>
        </w:rPr>
        <w:t xml:space="preserve"> </w:t>
      </w:r>
      <w:r w:rsidRPr="00EB122B">
        <w:rPr>
          <w:rFonts w:ascii="Arial" w:hAnsi="Arial" w:cs="Arial"/>
          <w:sz w:val="22"/>
          <w:szCs w:val="22"/>
        </w:rPr>
        <w:t>The Facilities Review Committee meeting is open to the public, but is not intended for public testimony.</w:t>
      </w:r>
    </w:p>
    <w:p w:rsidR="008241C3" w:rsidRDefault="008241C3" w:rsidP="009F49A2">
      <w:pPr>
        <w:spacing w:after="120"/>
        <w:rPr>
          <w:rFonts w:ascii="Arial" w:hAnsi="Arial" w:cs="Arial"/>
          <w:sz w:val="22"/>
          <w:szCs w:val="22"/>
        </w:rPr>
      </w:pPr>
      <w:r w:rsidRPr="00EB122B">
        <w:rPr>
          <w:rFonts w:ascii="Arial" w:hAnsi="Arial" w:cs="Arial"/>
          <w:sz w:val="22"/>
          <w:szCs w:val="22"/>
        </w:rPr>
        <w:t xml:space="preserve">A copy of the pre-application conference notes, neighborhood meeting information, and all other documents and evidence submitted by or on behalf of the applicant, and applicable review criteria, are available for inspection at the Beaverton Planning Division, </w:t>
      </w:r>
      <w:r>
        <w:rPr>
          <w:rFonts w:ascii="Arial" w:hAnsi="Arial" w:cs="Arial"/>
          <w:sz w:val="22"/>
          <w:szCs w:val="22"/>
        </w:rPr>
        <w:t>4</w:t>
      </w:r>
      <w:r w:rsidRPr="00C135F7">
        <w:rPr>
          <w:rFonts w:ascii="Arial" w:hAnsi="Arial" w:cs="Arial"/>
          <w:sz w:val="22"/>
          <w:szCs w:val="22"/>
          <w:vertAlign w:val="superscript"/>
        </w:rPr>
        <w:t>th</w:t>
      </w:r>
      <w:r w:rsidRPr="00EB122B">
        <w:rPr>
          <w:rFonts w:ascii="Arial" w:hAnsi="Arial" w:cs="Arial"/>
          <w:sz w:val="22"/>
          <w:szCs w:val="22"/>
        </w:rPr>
        <w:t xml:space="preserve"> floor, Beaverton </w:t>
      </w:r>
      <w:r>
        <w:rPr>
          <w:rFonts w:ascii="Arial" w:hAnsi="Arial" w:cs="Arial"/>
          <w:sz w:val="22"/>
          <w:szCs w:val="22"/>
        </w:rPr>
        <w:t>Building</w:t>
      </w:r>
      <w:r w:rsidRPr="00EB122B">
        <w:rPr>
          <w:rFonts w:ascii="Arial" w:hAnsi="Arial" w:cs="Arial"/>
          <w:sz w:val="22"/>
          <w:szCs w:val="22"/>
        </w:rPr>
        <w:t xml:space="preserve">, </w:t>
      </w:r>
      <w:r>
        <w:rPr>
          <w:rFonts w:ascii="Arial" w:hAnsi="Arial" w:cs="Arial"/>
          <w:sz w:val="22"/>
          <w:szCs w:val="22"/>
        </w:rPr>
        <w:t>12725 SW Millikan Way</w:t>
      </w:r>
      <w:r w:rsidRPr="00EB122B">
        <w:rPr>
          <w:rFonts w:ascii="Arial" w:hAnsi="Arial" w:cs="Arial"/>
          <w:sz w:val="22"/>
          <w:szCs w:val="22"/>
        </w:rPr>
        <w:t xml:space="preserve">, between the hours of 7:30 a.m. and </w:t>
      </w:r>
      <w:r>
        <w:rPr>
          <w:rFonts w:ascii="Arial" w:hAnsi="Arial" w:cs="Arial"/>
          <w:sz w:val="22"/>
          <w:szCs w:val="22"/>
        </w:rPr>
        <w:t>4</w:t>
      </w:r>
      <w:r w:rsidRPr="00EB122B">
        <w:rPr>
          <w:rFonts w:ascii="Arial" w:hAnsi="Arial" w:cs="Arial"/>
          <w:sz w:val="22"/>
          <w:szCs w:val="22"/>
        </w:rPr>
        <w:t>:00 p.m. Monday through Friday, except holidays.  A copy of the staff report will be available for inspection at no cost at least seven (7) cal</w:t>
      </w:r>
      <w:r>
        <w:rPr>
          <w:rFonts w:ascii="Arial" w:hAnsi="Arial" w:cs="Arial"/>
          <w:sz w:val="22"/>
          <w:szCs w:val="22"/>
        </w:rPr>
        <w:t>endar days before the hearing.</w:t>
      </w:r>
    </w:p>
    <w:p w:rsidR="008241C3" w:rsidRPr="00EB122B" w:rsidRDefault="008241C3" w:rsidP="008241C3">
      <w:pPr>
        <w:jc w:val="left"/>
        <w:rPr>
          <w:rFonts w:ascii="Arial" w:hAnsi="Arial" w:cs="Arial"/>
          <w:sz w:val="22"/>
          <w:szCs w:val="22"/>
        </w:rPr>
      </w:pPr>
      <w:r w:rsidRPr="00EB122B">
        <w:rPr>
          <w:rFonts w:ascii="Arial" w:hAnsi="Arial" w:cs="Arial"/>
          <w:sz w:val="22"/>
          <w:szCs w:val="22"/>
        </w:rPr>
        <w:t xml:space="preserve">A copy of any or all materials will be provided at </w:t>
      </w:r>
      <w:r>
        <w:rPr>
          <w:rFonts w:ascii="Arial" w:hAnsi="Arial" w:cs="Arial"/>
          <w:sz w:val="22"/>
          <w:szCs w:val="22"/>
        </w:rPr>
        <w:t xml:space="preserve">a </w:t>
      </w:r>
      <w:r w:rsidRPr="00EB122B">
        <w:rPr>
          <w:rFonts w:ascii="Arial" w:hAnsi="Arial" w:cs="Arial"/>
          <w:sz w:val="22"/>
          <w:szCs w:val="22"/>
        </w:rPr>
        <w:t xml:space="preserve">reasonable cost.  A copy of the staff report may also be viewed on-line at: </w:t>
      </w:r>
      <w:hyperlink r:id="rId9" w:history="1">
        <w:r w:rsidRPr="00EB122B">
          <w:rPr>
            <w:rStyle w:val="Hyperlink"/>
            <w:rFonts w:ascii="Arial" w:hAnsi="Arial" w:cs="Arial"/>
            <w:sz w:val="22"/>
            <w:szCs w:val="22"/>
          </w:rPr>
          <w:t>www.beavertonoregon.gov/DevelopmentProjects</w:t>
        </w:r>
      </w:hyperlink>
    </w:p>
    <w:p w:rsidR="008241C3" w:rsidRPr="00EB122B" w:rsidRDefault="008241C3" w:rsidP="008241C3">
      <w:pPr>
        <w:jc w:val="left"/>
        <w:rPr>
          <w:rFonts w:ascii="Arial" w:hAnsi="Arial" w:cs="Arial"/>
          <w:sz w:val="22"/>
          <w:szCs w:val="22"/>
        </w:rPr>
      </w:pPr>
    </w:p>
    <w:p w:rsidR="008241C3" w:rsidRPr="00EB122B" w:rsidRDefault="008241C3" w:rsidP="008241C3">
      <w:pPr>
        <w:rPr>
          <w:rFonts w:ascii="Arial" w:hAnsi="Arial" w:cs="Arial"/>
          <w:sz w:val="22"/>
          <w:szCs w:val="22"/>
        </w:rPr>
      </w:pPr>
      <w:r w:rsidRPr="00EB122B">
        <w:rPr>
          <w:rFonts w:ascii="Arial" w:hAnsi="Arial" w:cs="Arial"/>
          <w:sz w:val="22"/>
          <w:szCs w:val="22"/>
        </w:rPr>
        <w:t xml:space="preserve">The Planning Commission shall conduct hearings in accordance with adopted rules of procedure and shall make a decision on the development application after the hearing closes.  Failure to raise an issue in a hearing, by testifying in person or by letter, or failure to provide statements or evidence with sufficient specificity to afford the decision-making </w:t>
      </w:r>
      <w:r w:rsidRPr="00EB122B">
        <w:rPr>
          <w:rFonts w:ascii="Arial" w:hAnsi="Arial" w:cs="Arial"/>
          <w:sz w:val="22"/>
          <w:szCs w:val="22"/>
        </w:rPr>
        <w:lastRenderedPageBreak/>
        <w:t>authority an opportunity to respond to such issue, may preclude appeal to the Land Use Board of Appeals on that issue.</w:t>
      </w:r>
    </w:p>
    <w:p w:rsidR="008241C3" w:rsidRPr="00EB122B" w:rsidRDefault="008241C3" w:rsidP="008241C3">
      <w:pPr>
        <w:rPr>
          <w:rFonts w:ascii="Arial" w:hAnsi="Arial" w:cs="Arial"/>
        </w:rPr>
      </w:pPr>
    </w:p>
    <w:p w:rsidR="00667F9F" w:rsidRDefault="00667F9F" w:rsidP="008241C3">
      <w:pPr>
        <w:rPr>
          <w:rFonts w:ascii="Arial" w:hAnsi="Arial" w:cs="Arial"/>
          <w:sz w:val="22"/>
          <w:szCs w:val="22"/>
        </w:rPr>
      </w:pPr>
      <w:r>
        <w:rPr>
          <w:rFonts w:ascii="Arial" w:hAnsi="Arial" w:cs="Arial"/>
          <w:b/>
          <w:sz w:val="22"/>
          <w:szCs w:val="22"/>
        </w:rPr>
        <w:t>Accessibility Information:</w:t>
      </w:r>
      <w:r>
        <w:rPr>
          <w:rFonts w:ascii="Arial" w:hAnsi="Arial" w:cs="Arial"/>
          <w:sz w:val="22"/>
          <w:szCs w:val="22"/>
        </w:rPr>
        <w:t xml:space="preserve">  This information can be made available in large print or audio tape upon request.  Assistive listening devices, sign language interpreters, or qualified bilingual interpreters can be made available at any public meeting or program with 72 hours advance notice.  To request these services, contact Sandra</w:t>
      </w:r>
      <w:r w:rsidR="006C7C4E">
        <w:rPr>
          <w:rFonts w:ascii="Arial" w:hAnsi="Arial" w:cs="Arial"/>
          <w:sz w:val="22"/>
          <w:szCs w:val="22"/>
        </w:rPr>
        <w:t xml:space="preserve"> Freund by calling 711 (503) 526-3718 or by email </w:t>
      </w:r>
      <w:hyperlink r:id="rId10" w:history="1">
        <w:r w:rsidR="006C7C4E" w:rsidRPr="00A22564">
          <w:rPr>
            <w:rStyle w:val="Hyperlink"/>
            <w:rFonts w:ascii="Arial" w:hAnsi="Arial" w:cs="Arial"/>
            <w:sz w:val="22"/>
            <w:szCs w:val="22"/>
          </w:rPr>
          <w:t>sfreund@beavertonoregon.gov</w:t>
        </w:r>
      </w:hyperlink>
      <w:r w:rsidR="006C7C4E">
        <w:rPr>
          <w:rFonts w:ascii="Arial" w:hAnsi="Arial" w:cs="Arial"/>
          <w:sz w:val="22"/>
          <w:szCs w:val="22"/>
        </w:rPr>
        <w:t>.</w:t>
      </w:r>
    </w:p>
    <w:p w:rsidR="00092A80" w:rsidRPr="00621579" w:rsidRDefault="00092A80" w:rsidP="006D7EF3">
      <w:pPr>
        <w:jc w:val="left"/>
        <w:rPr>
          <w:rFonts w:asciiTheme="minorHAnsi" w:hAnsiTheme="minorHAnsi" w:cstheme="minorHAnsi"/>
          <w:sz w:val="22"/>
          <w:szCs w:val="22"/>
        </w:rPr>
      </w:pPr>
    </w:p>
    <w:sectPr w:rsidR="00092A80" w:rsidRPr="00621579" w:rsidSect="00D00C57">
      <w:headerReference w:type="first" r:id="rId11"/>
      <w:pgSz w:w="12240" w:h="15840" w:code="1"/>
      <w:pgMar w:top="1440" w:right="108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E7" w:rsidRDefault="006732E7" w:rsidP="005D7F49">
      <w:r>
        <w:separator/>
      </w:r>
    </w:p>
  </w:endnote>
  <w:endnote w:type="continuationSeparator" w:id="0">
    <w:p w:rsidR="006732E7" w:rsidRDefault="006732E7" w:rsidP="005D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E7" w:rsidRDefault="006732E7" w:rsidP="005D7F49">
      <w:r>
        <w:separator/>
      </w:r>
    </w:p>
  </w:footnote>
  <w:footnote w:type="continuationSeparator" w:id="0">
    <w:p w:rsidR="006732E7" w:rsidRDefault="006732E7" w:rsidP="005D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57" w:rsidRDefault="00D00C57" w:rsidP="00D00C57">
    <w:pPr>
      <w:ind w:left="5040" w:right="17"/>
      <w:jc w:val="right"/>
      <w:rPr>
        <w:rFonts w:ascii="Corbel" w:hAnsi="Corbel" w:cs="Arial"/>
        <w:color w:val="929497" w:themeColor="background2"/>
        <w:sz w:val="16"/>
        <w:szCs w:val="16"/>
      </w:rPr>
    </w:pPr>
    <w:r w:rsidRPr="005D7F49">
      <w:rPr>
        <w:rFonts w:asciiTheme="majorHAnsi" w:hAnsiTheme="majorHAnsi" w:cs="Arial"/>
        <w:noProof/>
        <w:color w:val="929497" w:themeColor="background2"/>
        <w:sz w:val="16"/>
        <w:szCs w:val="16"/>
      </w:rPr>
      <w:drawing>
        <wp:anchor distT="0" distB="0" distL="114300" distR="114300" simplePos="0" relativeHeight="251661312" behindDoc="0" locked="0" layoutInCell="1" allowOverlap="1" wp14:anchorId="3C6DB9C2" wp14:editId="587C0956">
          <wp:simplePos x="0" y="0"/>
          <wp:positionH relativeFrom="margin">
            <wp:posOffset>-638175</wp:posOffset>
          </wp:positionH>
          <wp:positionV relativeFrom="margin">
            <wp:posOffset>-962025</wp:posOffset>
          </wp:positionV>
          <wp:extent cx="2203450" cy="977900"/>
          <wp:effectExtent l="0" t="0" r="6350" b="0"/>
          <wp:wrapSquare wrapText="bothSides"/>
          <wp:docPr id="3" name="Picture 3" descr="http://cob/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b/log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450" cy="977900"/>
                  </a:xfrm>
                  <a:prstGeom prst="rect">
                    <a:avLst/>
                  </a:prstGeom>
                  <a:noFill/>
                  <a:ln>
                    <a:noFill/>
                  </a:ln>
                </pic:spPr>
              </pic:pic>
            </a:graphicData>
          </a:graphic>
        </wp:anchor>
      </w:drawing>
    </w:r>
  </w:p>
  <w:p w:rsidR="00D00C57" w:rsidRDefault="00D00C57" w:rsidP="00D00C57">
    <w:pPr>
      <w:ind w:left="5040" w:right="17"/>
      <w:jc w:val="right"/>
      <w:rPr>
        <w:rFonts w:ascii="Corbel" w:hAnsi="Corbel" w:cs="Arial"/>
        <w:color w:val="929497" w:themeColor="background2"/>
        <w:sz w:val="16"/>
        <w:szCs w:val="16"/>
      </w:rPr>
    </w:pPr>
  </w:p>
  <w:p w:rsidR="00D00C57" w:rsidRDefault="00D00C57" w:rsidP="00D00C57">
    <w:pPr>
      <w:ind w:left="5040" w:right="17"/>
      <w:jc w:val="right"/>
      <w:rPr>
        <w:rFonts w:ascii="Corbel" w:hAnsi="Corbel" w:cs="Arial"/>
        <w:color w:val="929497" w:themeColor="background2"/>
        <w:sz w:val="16"/>
        <w:szCs w:val="16"/>
      </w:rPr>
    </w:pPr>
  </w:p>
  <w:p w:rsidR="00D00C57" w:rsidRPr="005D7F49" w:rsidRDefault="00D00C57" w:rsidP="00D00C57">
    <w:pPr>
      <w:ind w:left="5040" w:right="17"/>
      <w:jc w:val="right"/>
      <w:rPr>
        <w:rFonts w:ascii="Corbel" w:hAnsi="Corbel" w:cs="Arial"/>
        <w:color w:val="929497" w:themeColor="background2"/>
        <w:sz w:val="16"/>
        <w:szCs w:val="16"/>
      </w:rPr>
    </w:pPr>
  </w:p>
  <w:p w:rsidR="00D00C57" w:rsidRPr="005D7F49" w:rsidRDefault="00D00C57" w:rsidP="00D00C57">
    <w:pPr>
      <w:ind w:left="3600" w:right="17"/>
      <w:jc w:val="right"/>
      <w:rPr>
        <w:rFonts w:asciiTheme="majorHAnsi" w:hAnsiTheme="majorHAnsi" w:cs="Arial"/>
        <w:color w:val="929497" w:themeColor="background2"/>
        <w:sz w:val="16"/>
        <w:szCs w:val="16"/>
      </w:rPr>
    </w:pPr>
    <w:r w:rsidRPr="005D7F49">
      <w:rPr>
        <w:rFonts w:asciiTheme="majorHAnsi" w:hAnsiTheme="majorHAnsi" w:cs="Arial"/>
        <w:color w:val="929497" w:themeColor="background2"/>
        <w:sz w:val="16"/>
        <w:szCs w:val="16"/>
      </w:rPr>
      <w:t>Community Development Department | Planning Division</w:t>
    </w:r>
  </w:p>
  <w:p w:rsidR="00D00C57" w:rsidRPr="005D7F49" w:rsidRDefault="00D00C57" w:rsidP="00D00C57">
    <w:pPr>
      <w:ind w:left="3600" w:right="17"/>
      <w:jc w:val="right"/>
      <w:rPr>
        <w:rFonts w:asciiTheme="majorHAnsi" w:hAnsiTheme="majorHAnsi" w:cs="Arial"/>
        <w:color w:val="929497" w:themeColor="background2"/>
        <w:sz w:val="16"/>
        <w:szCs w:val="16"/>
      </w:rPr>
    </w:pPr>
    <w:r w:rsidRPr="005D7F49">
      <w:rPr>
        <w:rFonts w:asciiTheme="majorHAnsi" w:hAnsiTheme="majorHAnsi" w:cs="Arial"/>
        <w:color w:val="929497" w:themeColor="background2"/>
        <w:sz w:val="16"/>
        <w:szCs w:val="16"/>
      </w:rPr>
      <w:t>12725 SW Millikan Way / PO Box 4755 | Beaverton, OR 97076</w:t>
    </w:r>
  </w:p>
  <w:p w:rsidR="00D00C57" w:rsidRPr="005D7F49" w:rsidRDefault="00D00C57" w:rsidP="00D00C57">
    <w:pPr>
      <w:ind w:left="5040" w:right="17"/>
      <w:jc w:val="right"/>
      <w:rPr>
        <w:rFonts w:asciiTheme="majorHAnsi" w:hAnsiTheme="majorHAnsi" w:cs="Arial"/>
        <w:color w:val="929497" w:themeColor="background2"/>
        <w:sz w:val="16"/>
        <w:szCs w:val="16"/>
      </w:rPr>
    </w:pPr>
    <w:r w:rsidRPr="005D7F49">
      <w:rPr>
        <w:rFonts w:asciiTheme="majorHAnsi" w:hAnsiTheme="majorHAnsi" w:cs="Arial"/>
        <w:color w:val="929497" w:themeColor="background2"/>
        <w:sz w:val="16"/>
        <w:szCs w:val="16"/>
      </w:rPr>
      <w:t>General Information: (503) 526-2222 V/TDD</w:t>
    </w:r>
  </w:p>
  <w:p w:rsidR="00D00C57" w:rsidRPr="00D00C57" w:rsidRDefault="00D00C57" w:rsidP="00D00C57">
    <w:pPr>
      <w:ind w:left="5040" w:right="17"/>
      <w:jc w:val="right"/>
      <w:rPr>
        <w:rFonts w:asciiTheme="majorHAnsi" w:hAnsiTheme="majorHAnsi" w:cs="Arial"/>
        <w:color w:val="929497" w:themeColor="background2"/>
        <w:sz w:val="16"/>
        <w:szCs w:val="16"/>
        <w:u w:val="single"/>
      </w:rPr>
    </w:pPr>
    <w:r w:rsidRPr="005D7F49">
      <w:rPr>
        <w:rFonts w:asciiTheme="majorHAnsi" w:hAnsiTheme="majorHAnsi" w:cs="Arial"/>
        <w:color w:val="929497" w:themeColor="background2"/>
        <w:sz w:val="16"/>
        <w:szCs w:val="16"/>
      </w:rPr>
      <w:t>www.BeavertonOregon.gov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FCC3416"/>
    <w:multiLevelType w:val="hybridMultilevel"/>
    <w:tmpl w:val="BD1C8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65"/>
    <w:rsid w:val="00000EF7"/>
    <w:rsid w:val="00003916"/>
    <w:rsid w:val="000069E1"/>
    <w:rsid w:val="00007250"/>
    <w:rsid w:val="00012E0F"/>
    <w:rsid w:val="000147C5"/>
    <w:rsid w:val="0001598F"/>
    <w:rsid w:val="00033E8F"/>
    <w:rsid w:val="000367A3"/>
    <w:rsid w:val="00047C18"/>
    <w:rsid w:val="0006033D"/>
    <w:rsid w:val="00062844"/>
    <w:rsid w:val="00064096"/>
    <w:rsid w:val="000656A1"/>
    <w:rsid w:val="00074D4D"/>
    <w:rsid w:val="00080865"/>
    <w:rsid w:val="0009174A"/>
    <w:rsid w:val="00091A21"/>
    <w:rsid w:val="00092A80"/>
    <w:rsid w:val="00094747"/>
    <w:rsid w:val="000A4899"/>
    <w:rsid w:val="000B16D7"/>
    <w:rsid w:val="000B1BD0"/>
    <w:rsid w:val="000B442E"/>
    <w:rsid w:val="000C5FA3"/>
    <w:rsid w:val="000D509B"/>
    <w:rsid w:val="000E1857"/>
    <w:rsid w:val="001013E4"/>
    <w:rsid w:val="00105289"/>
    <w:rsid w:val="00116132"/>
    <w:rsid w:val="00131CBF"/>
    <w:rsid w:val="0016629E"/>
    <w:rsid w:val="001746FF"/>
    <w:rsid w:val="00192CA8"/>
    <w:rsid w:val="001949E2"/>
    <w:rsid w:val="001A02E1"/>
    <w:rsid w:val="001A76CE"/>
    <w:rsid w:val="001D1540"/>
    <w:rsid w:val="001D2A4C"/>
    <w:rsid w:val="001D7A59"/>
    <w:rsid w:val="001E6245"/>
    <w:rsid w:val="001F184F"/>
    <w:rsid w:val="001F28D7"/>
    <w:rsid w:val="00201A62"/>
    <w:rsid w:val="00201A97"/>
    <w:rsid w:val="00222769"/>
    <w:rsid w:val="00222828"/>
    <w:rsid w:val="002458B6"/>
    <w:rsid w:val="00247F8E"/>
    <w:rsid w:val="0025055D"/>
    <w:rsid w:val="0025284D"/>
    <w:rsid w:val="002551D7"/>
    <w:rsid w:val="00264BA4"/>
    <w:rsid w:val="00274F8F"/>
    <w:rsid w:val="0027683F"/>
    <w:rsid w:val="00277728"/>
    <w:rsid w:val="00280B4C"/>
    <w:rsid w:val="00287AA3"/>
    <w:rsid w:val="002A3202"/>
    <w:rsid w:val="002A3F3D"/>
    <w:rsid w:val="002A7052"/>
    <w:rsid w:val="002B47AF"/>
    <w:rsid w:val="002C58FD"/>
    <w:rsid w:val="002D1AC4"/>
    <w:rsid w:val="002D1AD6"/>
    <w:rsid w:val="002F4906"/>
    <w:rsid w:val="002F7520"/>
    <w:rsid w:val="003064CD"/>
    <w:rsid w:val="00310AE4"/>
    <w:rsid w:val="0031671C"/>
    <w:rsid w:val="0032693A"/>
    <w:rsid w:val="003275B4"/>
    <w:rsid w:val="003420B8"/>
    <w:rsid w:val="0034213A"/>
    <w:rsid w:val="0034592F"/>
    <w:rsid w:val="00357789"/>
    <w:rsid w:val="00373163"/>
    <w:rsid w:val="0037502A"/>
    <w:rsid w:val="003750D8"/>
    <w:rsid w:val="00386FDD"/>
    <w:rsid w:val="00387546"/>
    <w:rsid w:val="00391B0E"/>
    <w:rsid w:val="003951BD"/>
    <w:rsid w:val="00395981"/>
    <w:rsid w:val="003A478D"/>
    <w:rsid w:val="003A485E"/>
    <w:rsid w:val="003A68BD"/>
    <w:rsid w:val="003A6D45"/>
    <w:rsid w:val="003C0D3F"/>
    <w:rsid w:val="003D24DF"/>
    <w:rsid w:val="003F40D7"/>
    <w:rsid w:val="003F453F"/>
    <w:rsid w:val="003F560A"/>
    <w:rsid w:val="004176BB"/>
    <w:rsid w:val="00433E32"/>
    <w:rsid w:val="00444D08"/>
    <w:rsid w:val="00447380"/>
    <w:rsid w:val="00454AE8"/>
    <w:rsid w:val="00467640"/>
    <w:rsid w:val="004707DF"/>
    <w:rsid w:val="00471536"/>
    <w:rsid w:val="004765A1"/>
    <w:rsid w:val="0048437A"/>
    <w:rsid w:val="00487E61"/>
    <w:rsid w:val="004933D9"/>
    <w:rsid w:val="0049356D"/>
    <w:rsid w:val="004A3436"/>
    <w:rsid w:val="004A69B7"/>
    <w:rsid w:val="004B148A"/>
    <w:rsid w:val="004C1562"/>
    <w:rsid w:val="004C1907"/>
    <w:rsid w:val="004E0A84"/>
    <w:rsid w:val="004F042F"/>
    <w:rsid w:val="004F278B"/>
    <w:rsid w:val="004F41FA"/>
    <w:rsid w:val="0050155A"/>
    <w:rsid w:val="00502FF4"/>
    <w:rsid w:val="00504160"/>
    <w:rsid w:val="00504B9C"/>
    <w:rsid w:val="00517667"/>
    <w:rsid w:val="00517F99"/>
    <w:rsid w:val="005220A4"/>
    <w:rsid w:val="005465DE"/>
    <w:rsid w:val="005554E7"/>
    <w:rsid w:val="00566D84"/>
    <w:rsid w:val="00567101"/>
    <w:rsid w:val="0056797F"/>
    <w:rsid w:val="00577074"/>
    <w:rsid w:val="00582D37"/>
    <w:rsid w:val="00592DB9"/>
    <w:rsid w:val="005A5465"/>
    <w:rsid w:val="005B5B2E"/>
    <w:rsid w:val="005B732E"/>
    <w:rsid w:val="005C20F8"/>
    <w:rsid w:val="005C270C"/>
    <w:rsid w:val="005D424D"/>
    <w:rsid w:val="005D7E28"/>
    <w:rsid w:val="005D7F49"/>
    <w:rsid w:val="005E6086"/>
    <w:rsid w:val="005F0DD6"/>
    <w:rsid w:val="00621579"/>
    <w:rsid w:val="00623889"/>
    <w:rsid w:val="00624B3E"/>
    <w:rsid w:val="00630CA7"/>
    <w:rsid w:val="00635654"/>
    <w:rsid w:val="006443AC"/>
    <w:rsid w:val="00647784"/>
    <w:rsid w:val="00650601"/>
    <w:rsid w:val="006670FE"/>
    <w:rsid w:val="00667F9F"/>
    <w:rsid w:val="006732E7"/>
    <w:rsid w:val="0067412E"/>
    <w:rsid w:val="00675C7B"/>
    <w:rsid w:val="00694374"/>
    <w:rsid w:val="00696B82"/>
    <w:rsid w:val="006A419C"/>
    <w:rsid w:val="006A4CBC"/>
    <w:rsid w:val="006B6CE4"/>
    <w:rsid w:val="006C1036"/>
    <w:rsid w:val="006C1959"/>
    <w:rsid w:val="006C385F"/>
    <w:rsid w:val="006C7C4E"/>
    <w:rsid w:val="006D43AD"/>
    <w:rsid w:val="006D7EF3"/>
    <w:rsid w:val="006E5005"/>
    <w:rsid w:val="00707130"/>
    <w:rsid w:val="007228FD"/>
    <w:rsid w:val="00725B84"/>
    <w:rsid w:val="00735DFC"/>
    <w:rsid w:val="0075179F"/>
    <w:rsid w:val="007564B1"/>
    <w:rsid w:val="007653AE"/>
    <w:rsid w:val="007664F6"/>
    <w:rsid w:val="007824D8"/>
    <w:rsid w:val="00795766"/>
    <w:rsid w:val="007B32D6"/>
    <w:rsid w:val="007B5F1A"/>
    <w:rsid w:val="007E2D4C"/>
    <w:rsid w:val="007F47DC"/>
    <w:rsid w:val="008001AE"/>
    <w:rsid w:val="00801C14"/>
    <w:rsid w:val="00803261"/>
    <w:rsid w:val="008071CB"/>
    <w:rsid w:val="00814E23"/>
    <w:rsid w:val="008173EE"/>
    <w:rsid w:val="00817439"/>
    <w:rsid w:val="008241C3"/>
    <w:rsid w:val="00831B00"/>
    <w:rsid w:val="00832389"/>
    <w:rsid w:val="00834656"/>
    <w:rsid w:val="00860778"/>
    <w:rsid w:val="0086614B"/>
    <w:rsid w:val="008858F0"/>
    <w:rsid w:val="00896504"/>
    <w:rsid w:val="008A1122"/>
    <w:rsid w:val="008A4B04"/>
    <w:rsid w:val="008E16C4"/>
    <w:rsid w:val="008F4881"/>
    <w:rsid w:val="009018B1"/>
    <w:rsid w:val="00916EEB"/>
    <w:rsid w:val="00923193"/>
    <w:rsid w:val="00932848"/>
    <w:rsid w:val="009332E0"/>
    <w:rsid w:val="00934C16"/>
    <w:rsid w:val="00940874"/>
    <w:rsid w:val="009409D5"/>
    <w:rsid w:val="00944A20"/>
    <w:rsid w:val="00962844"/>
    <w:rsid w:val="00962F25"/>
    <w:rsid w:val="009660B2"/>
    <w:rsid w:val="00966C73"/>
    <w:rsid w:val="00995D19"/>
    <w:rsid w:val="009A2ECB"/>
    <w:rsid w:val="009B2030"/>
    <w:rsid w:val="009D5390"/>
    <w:rsid w:val="009F49A2"/>
    <w:rsid w:val="009F56EF"/>
    <w:rsid w:val="00A00FE3"/>
    <w:rsid w:val="00A03CFB"/>
    <w:rsid w:val="00A063BA"/>
    <w:rsid w:val="00A10614"/>
    <w:rsid w:val="00A16FC8"/>
    <w:rsid w:val="00A20D50"/>
    <w:rsid w:val="00A21DD1"/>
    <w:rsid w:val="00A27003"/>
    <w:rsid w:val="00A401A6"/>
    <w:rsid w:val="00A750F9"/>
    <w:rsid w:val="00A93ACD"/>
    <w:rsid w:val="00AA19F0"/>
    <w:rsid w:val="00AA212B"/>
    <w:rsid w:val="00AD00F7"/>
    <w:rsid w:val="00AD6339"/>
    <w:rsid w:val="00AE29F3"/>
    <w:rsid w:val="00AE4337"/>
    <w:rsid w:val="00B016F2"/>
    <w:rsid w:val="00B03EEE"/>
    <w:rsid w:val="00B22992"/>
    <w:rsid w:val="00B444AE"/>
    <w:rsid w:val="00B47DA7"/>
    <w:rsid w:val="00B53303"/>
    <w:rsid w:val="00B7734F"/>
    <w:rsid w:val="00B856A2"/>
    <w:rsid w:val="00B86867"/>
    <w:rsid w:val="00B93895"/>
    <w:rsid w:val="00BB6BB1"/>
    <w:rsid w:val="00BC21A4"/>
    <w:rsid w:val="00BC66FB"/>
    <w:rsid w:val="00BD3A41"/>
    <w:rsid w:val="00BE2F55"/>
    <w:rsid w:val="00C07CBC"/>
    <w:rsid w:val="00C13251"/>
    <w:rsid w:val="00C265CF"/>
    <w:rsid w:val="00C3133F"/>
    <w:rsid w:val="00C87BA1"/>
    <w:rsid w:val="00C96C51"/>
    <w:rsid w:val="00CA43B0"/>
    <w:rsid w:val="00CA6EDA"/>
    <w:rsid w:val="00CC3E83"/>
    <w:rsid w:val="00CC4CC5"/>
    <w:rsid w:val="00CE4814"/>
    <w:rsid w:val="00CF4554"/>
    <w:rsid w:val="00D00C57"/>
    <w:rsid w:val="00D049B3"/>
    <w:rsid w:val="00D071E6"/>
    <w:rsid w:val="00D16F08"/>
    <w:rsid w:val="00D67061"/>
    <w:rsid w:val="00D70728"/>
    <w:rsid w:val="00D80938"/>
    <w:rsid w:val="00DB2403"/>
    <w:rsid w:val="00DB3C5D"/>
    <w:rsid w:val="00DB66F5"/>
    <w:rsid w:val="00DC49EA"/>
    <w:rsid w:val="00DC6B4F"/>
    <w:rsid w:val="00DD0F7E"/>
    <w:rsid w:val="00DD773A"/>
    <w:rsid w:val="00E009EA"/>
    <w:rsid w:val="00E15214"/>
    <w:rsid w:val="00E160BF"/>
    <w:rsid w:val="00E173FF"/>
    <w:rsid w:val="00E27EC9"/>
    <w:rsid w:val="00E52A81"/>
    <w:rsid w:val="00E57C02"/>
    <w:rsid w:val="00E66A27"/>
    <w:rsid w:val="00EA0E6B"/>
    <w:rsid w:val="00EC2AED"/>
    <w:rsid w:val="00EC2F24"/>
    <w:rsid w:val="00EE60DE"/>
    <w:rsid w:val="00EF54F6"/>
    <w:rsid w:val="00F24612"/>
    <w:rsid w:val="00F50A7E"/>
    <w:rsid w:val="00F52F39"/>
    <w:rsid w:val="00F57222"/>
    <w:rsid w:val="00F57730"/>
    <w:rsid w:val="00F64CA5"/>
    <w:rsid w:val="00F7057C"/>
    <w:rsid w:val="00F77606"/>
    <w:rsid w:val="00F82C28"/>
    <w:rsid w:val="00F84231"/>
    <w:rsid w:val="00F94C5F"/>
    <w:rsid w:val="00FA7614"/>
    <w:rsid w:val="00FB62C3"/>
    <w:rsid w:val="00FF41FA"/>
    <w:rsid w:val="00FF569B"/>
    <w:rsid w:val="00FF70A5"/>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ACAF7B-AD14-408E-BBAE-92766D05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A3"/>
    <w:pPr>
      <w:jc w:val="both"/>
    </w:pPr>
    <w:rPr>
      <w:rFonts w:ascii="Century Schoolbook" w:hAnsi="Century Schoolbook"/>
      <w:sz w:val="24"/>
      <w:szCs w:val="24"/>
    </w:rPr>
  </w:style>
  <w:style w:type="paragraph" w:styleId="Heading1">
    <w:name w:val="heading 1"/>
    <w:basedOn w:val="Normal"/>
    <w:next w:val="Normal"/>
    <w:qFormat/>
    <w:rsid w:val="000367A3"/>
    <w:pPr>
      <w:keepNext/>
      <w:ind w:left="-1080"/>
      <w:outlineLvl w:val="0"/>
    </w:pPr>
    <w:rPr>
      <w:b/>
      <w:bCs/>
      <w:sz w:val="22"/>
    </w:rPr>
  </w:style>
  <w:style w:type="paragraph" w:styleId="Heading9">
    <w:name w:val="heading 9"/>
    <w:basedOn w:val="Normal"/>
    <w:next w:val="Normal"/>
    <w:link w:val="Heading9Char"/>
    <w:semiHidden/>
    <w:unhideWhenUsed/>
    <w:qFormat/>
    <w:rsid w:val="00201A6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7A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7A3"/>
    <w:rPr>
      <w:color w:val="0000FF"/>
      <w:u w:val="single"/>
    </w:rPr>
  </w:style>
  <w:style w:type="character" w:styleId="FollowedHyperlink">
    <w:name w:val="FollowedHyperlink"/>
    <w:basedOn w:val="DefaultParagraphFont"/>
    <w:rsid w:val="000367A3"/>
    <w:rPr>
      <w:color w:val="800080"/>
      <w:u w:val="single"/>
    </w:rPr>
  </w:style>
  <w:style w:type="paragraph" w:styleId="BalloonText">
    <w:name w:val="Balloon Text"/>
    <w:basedOn w:val="Normal"/>
    <w:semiHidden/>
    <w:rsid w:val="000367A3"/>
    <w:rPr>
      <w:rFonts w:ascii="Tahoma" w:hAnsi="Tahoma" w:cs="Tahoma"/>
      <w:sz w:val="16"/>
      <w:szCs w:val="16"/>
    </w:rPr>
  </w:style>
  <w:style w:type="character" w:customStyle="1" w:styleId="Heading9Char">
    <w:name w:val="Heading 9 Char"/>
    <w:basedOn w:val="DefaultParagraphFont"/>
    <w:link w:val="Heading9"/>
    <w:semiHidden/>
    <w:rsid w:val="00201A62"/>
    <w:rPr>
      <w:rFonts w:asciiTheme="majorHAnsi" w:eastAsiaTheme="majorEastAsia" w:hAnsiTheme="majorHAnsi" w:cstheme="majorBidi"/>
      <w:i/>
      <w:iCs/>
      <w:color w:val="404040" w:themeColor="text1" w:themeTint="BF"/>
    </w:rPr>
  </w:style>
  <w:style w:type="paragraph" w:styleId="Header">
    <w:name w:val="header"/>
    <w:basedOn w:val="Normal"/>
    <w:link w:val="HeaderChar"/>
    <w:unhideWhenUsed/>
    <w:rsid w:val="005D7F49"/>
    <w:pPr>
      <w:tabs>
        <w:tab w:val="center" w:pos="4680"/>
        <w:tab w:val="right" w:pos="9360"/>
      </w:tabs>
    </w:pPr>
  </w:style>
  <w:style w:type="character" w:customStyle="1" w:styleId="HeaderChar">
    <w:name w:val="Header Char"/>
    <w:basedOn w:val="DefaultParagraphFont"/>
    <w:link w:val="Header"/>
    <w:rsid w:val="005D7F49"/>
    <w:rPr>
      <w:rFonts w:ascii="Century Schoolbook" w:hAnsi="Century Schoolbook"/>
      <w:sz w:val="24"/>
      <w:szCs w:val="24"/>
    </w:rPr>
  </w:style>
  <w:style w:type="paragraph" w:styleId="Footer">
    <w:name w:val="footer"/>
    <w:basedOn w:val="Normal"/>
    <w:link w:val="FooterChar"/>
    <w:unhideWhenUsed/>
    <w:rsid w:val="005D7F49"/>
    <w:pPr>
      <w:tabs>
        <w:tab w:val="center" w:pos="4680"/>
        <w:tab w:val="right" w:pos="9360"/>
      </w:tabs>
    </w:pPr>
  </w:style>
  <w:style w:type="character" w:customStyle="1" w:styleId="FooterChar">
    <w:name w:val="Footer Char"/>
    <w:basedOn w:val="DefaultParagraphFont"/>
    <w:link w:val="Footer"/>
    <w:rsid w:val="005D7F49"/>
    <w:rPr>
      <w:rFonts w:ascii="Century Schoolbook" w:hAnsi="Century Schoolbook"/>
      <w:sz w:val="24"/>
      <w:szCs w:val="24"/>
    </w:rPr>
  </w:style>
  <w:style w:type="character" w:styleId="CommentReference">
    <w:name w:val="annotation reference"/>
    <w:basedOn w:val="DefaultParagraphFont"/>
    <w:semiHidden/>
    <w:unhideWhenUsed/>
    <w:rsid w:val="00247F8E"/>
    <w:rPr>
      <w:sz w:val="16"/>
      <w:szCs w:val="16"/>
    </w:rPr>
  </w:style>
  <w:style w:type="paragraph" w:styleId="CommentText">
    <w:name w:val="annotation text"/>
    <w:basedOn w:val="Normal"/>
    <w:link w:val="CommentTextChar"/>
    <w:semiHidden/>
    <w:unhideWhenUsed/>
    <w:rsid w:val="00247F8E"/>
    <w:rPr>
      <w:sz w:val="20"/>
      <w:szCs w:val="20"/>
    </w:rPr>
  </w:style>
  <w:style w:type="character" w:customStyle="1" w:styleId="CommentTextChar">
    <w:name w:val="Comment Text Char"/>
    <w:basedOn w:val="DefaultParagraphFont"/>
    <w:link w:val="CommentText"/>
    <w:semiHidden/>
    <w:rsid w:val="00247F8E"/>
    <w:rPr>
      <w:rFonts w:ascii="Century Schoolbook" w:hAnsi="Century Schoolbook"/>
    </w:rPr>
  </w:style>
  <w:style w:type="paragraph" w:styleId="CommentSubject">
    <w:name w:val="annotation subject"/>
    <w:basedOn w:val="CommentText"/>
    <w:next w:val="CommentText"/>
    <w:link w:val="CommentSubjectChar"/>
    <w:semiHidden/>
    <w:unhideWhenUsed/>
    <w:rsid w:val="00247F8E"/>
    <w:rPr>
      <w:b/>
      <w:bCs/>
    </w:rPr>
  </w:style>
  <w:style w:type="character" w:customStyle="1" w:styleId="CommentSubjectChar">
    <w:name w:val="Comment Subject Char"/>
    <w:basedOn w:val="CommentTextChar"/>
    <w:link w:val="CommentSubject"/>
    <w:semiHidden/>
    <w:rsid w:val="00247F8E"/>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reund@BeavertonOrego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freund@beavertonoregon.gov" TargetMode="External"/><Relationship Id="rId4" Type="http://schemas.openxmlformats.org/officeDocument/2006/relationships/settings" Target="settings.xml"/><Relationship Id="rId9" Type="http://schemas.openxmlformats.org/officeDocument/2006/relationships/hyperlink" Target="http://www.beavertonoregon.gov/Development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B RGB - Dec 2015">
  <a:themeElements>
    <a:clrScheme name="Custom 1">
      <a:dk1>
        <a:srgbClr val="000000"/>
      </a:dk1>
      <a:lt1>
        <a:srgbClr val="FFFFFF"/>
      </a:lt1>
      <a:dk2>
        <a:srgbClr val="0039A6"/>
      </a:dk2>
      <a:lt2>
        <a:srgbClr val="929497"/>
      </a:lt2>
      <a:accent1>
        <a:srgbClr val="0039A6"/>
      </a:accent1>
      <a:accent2>
        <a:srgbClr val="E98300"/>
      </a:accent2>
      <a:accent3>
        <a:srgbClr val="58A618"/>
      </a:accent3>
      <a:accent4>
        <a:srgbClr val="80379B"/>
      </a:accent4>
      <a:accent5>
        <a:srgbClr val="007AC9"/>
      </a:accent5>
      <a:accent6>
        <a:srgbClr val="FFB612"/>
      </a:accent6>
      <a:hlink>
        <a:srgbClr val="007AC9"/>
      </a:hlink>
      <a:folHlink>
        <a:srgbClr val="FFB612"/>
      </a:folHlink>
    </a:clrScheme>
    <a:fontScheme name="Custom 1">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E023-75DF-42DC-B108-8BF58B7B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4326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BEAVERTON</Company>
  <LinksUpToDate>false</LinksUpToDate>
  <CharactersWithSpaces>5032</CharactersWithSpaces>
  <SharedDoc>false</SharedDoc>
  <HLinks>
    <vt:vector size="6" baseType="variant">
      <vt:variant>
        <vt:i4>65628</vt:i4>
      </vt:variant>
      <vt:variant>
        <vt:i4>0</vt:i4>
      </vt:variant>
      <vt:variant>
        <vt:i4>0</vt:i4>
      </vt:variant>
      <vt:variant>
        <vt:i4>5</vt:i4>
      </vt:variant>
      <vt:variant>
        <vt:lpwstr>http://www.beavertonoregon.gov/departments/CDD/cdd_dev_projects.html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ksnyder</dc:creator>
  <cp:lastModifiedBy>Carmin Ruiz</cp:lastModifiedBy>
  <cp:revision>2</cp:revision>
  <cp:lastPrinted>2017-08-14T22:48:00Z</cp:lastPrinted>
  <dcterms:created xsi:type="dcterms:W3CDTF">2017-08-14T22:49:00Z</dcterms:created>
  <dcterms:modified xsi:type="dcterms:W3CDTF">2017-08-14T22:49:00Z</dcterms:modified>
</cp:coreProperties>
</file>